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287"/>
        <w:tblW w:w="4925" w:type="pct"/>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left w:w="0" w:type="dxa"/>
          <w:right w:w="0" w:type="dxa"/>
        </w:tblCellMar>
        <w:tblLook w:val="04A0"/>
      </w:tblPr>
      <w:tblGrid>
        <w:gridCol w:w="3896"/>
        <w:gridCol w:w="5607"/>
      </w:tblGrid>
      <w:tr w:rsidR="00DE41B9" w:rsidRPr="00DE41B9" w:rsidTr="004A080E">
        <w:trPr>
          <w:trHeight w:val="584"/>
        </w:trPr>
        <w:tc>
          <w:tcPr>
            <w:tcW w:w="2050" w:type="pct"/>
            <w:shd w:val="clear" w:color="auto" w:fill="BBE0E3"/>
            <w:tcMar>
              <w:top w:w="72" w:type="dxa"/>
              <w:left w:w="144" w:type="dxa"/>
              <w:bottom w:w="72" w:type="dxa"/>
              <w:right w:w="144" w:type="dxa"/>
            </w:tcMar>
            <w:hideMark/>
          </w:tcPr>
          <w:p w:rsidR="00C91852" w:rsidRPr="00DE41B9" w:rsidRDefault="00DE41B9" w:rsidP="004A080E">
            <w:pPr>
              <w:ind w:left="435"/>
              <w:rPr>
                <w:lang w:val="en-US"/>
              </w:rPr>
            </w:pPr>
            <w:r w:rsidRPr="00DE41B9">
              <w:rPr>
                <w:b/>
                <w:bCs/>
              </w:rPr>
              <w:t xml:space="preserve">Preguntas </w:t>
            </w:r>
          </w:p>
        </w:tc>
        <w:tc>
          <w:tcPr>
            <w:tcW w:w="2950" w:type="pct"/>
            <w:shd w:val="clear" w:color="auto" w:fill="BBE0E3"/>
            <w:tcMar>
              <w:top w:w="72" w:type="dxa"/>
              <w:left w:w="144" w:type="dxa"/>
              <w:bottom w:w="72" w:type="dxa"/>
              <w:right w:w="144" w:type="dxa"/>
            </w:tcMar>
            <w:hideMark/>
          </w:tcPr>
          <w:p w:rsidR="00C91852" w:rsidRPr="00DE41B9" w:rsidRDefault="00DE41B9" w:rsidP="004A080E">
            <w:pPr>
              <w:ind w:left="435"/>
              <w:rPr>
                <w:lang w:val="en-US"/>
              </w:rPr>
            </w:pPr>
            <w:r>
              <w:rPr>
                <w:b/>
                <w:bCs/>
              </w:rPr>
              <w:t>I</w:t>
            </w:r>
            <w:r w:rsidRPr="00DE41B9">
              <w:rPr>
                <w:b/>
                <w:bCs/>
              </w:rPr>
              <w:t xml:space="preserve">ndicadores </w:t>
            </w:r>
          </w:p>
        </w:tc>
      </w:tr>
      <w:tr w:rsidR="00DE41B9" w:rsidRPr="00DE41B9" w:rsidTr="004A080E">
        <w:trPr>
          <w:trHeight w:val="1023"/>
        </w:trPr>
        <w:tc>
          <w:tcPr>
            <w:tcW w:w="2050" w:type="pct"/>
            <w:shd w:val="clear" w:color="auto" w:fill="E7F3F4"/>
            <w:tcMar>
              <w:top w:w="72" w:type="dxa"/>
              <w:left w:w="144" w:type="dxa"/>
              <w:bottom w:w="72" w:type="dxa"/>
              <w:right w:w="144" w:type="dxa"/>
            </w:tcMar>
            <w:hideMark/>
          </w:tcPr>
          <w:p w:rsidR="00C91852" w:rsidRPr="00DE41B9" w:rsidRDefault="00DE41B9" w:rsidP="004A080E">
            <w:pPr>
              <w:ind w:left="435"/>
            </w:pPr>
            <w:r w:rsidRPr="00DE41B9">
              <w:t xml:space="preserve">¿Cuál es la magnitud del esfuerzo financiero en I+D que hace la universidad? </w:t>
            </w:r>
          </w:p>
        </w:tc>
        <w:tc>
          <w:tcPr>
            <w:tcW w:w="2950" w:type="pct"/>
            <w:shd w:val="clear" w:color="auto" w:fill="E7F3F4"/>
            <w:tcMar>
              <w:top w:w="72" w:type="dxa"/>
              <w:left w:w="144" w:type="dxa"/>
              <w:bottom w:w="72" w:type="dxa"/>
              <w:right w:w="144" w:type="dxa"/>
            </w:tcMar>
            <w:hideMark/>
          </w:tcPr>
          <w:p w:rsidR="00C91852" w:rsidRPr="00DE41B9" w:rsidRDefault="00DE41B9" w:rsidP="004A080E">
            <w:pPr>
              <w:ind w:left="435"/>
            </w:pPr>
            <w:r w:rsidRPr="00DE41B9">
              <w:t xml:space="preserve">Gasto en I+D/ACT como proporción del presupuesto de la universidad </w:t>
            </w:r>
          </w:p>
        </w:tc>
      </w:tr>
      <w:tr w:rsidR="00DE41B9" w:rsidRPr="00DE41B9" w:rsidTr="004A080E">
        <w:trPr>
          <w:trHeight w:val="1028"/>
        </w:trPr>
        <w:tc>
          <w:tcPr>
            <w:tcW w:w="2050" w:type="pct"/>
            <w:shd w:val="clear" w:color="auto" w:fill="F3F9FA"/>
            <w:tcMar>
              <w:top w:w="72" w:type="dxa"/>
              <w:left w:w="144" w:type="dxa"/>
              <w:bottom w:w="72" w:type="dxa"/>
              <w:right w:w="144" w:type="dxa"/>
            </w:tcMar>
            <w:hideMark/>
          </w:tcPr>
          <w:p w:rsidR="00C91852" w:rsidRPr="00DE41B9" w:rsidRDefault="00DE41B9" w:rsidP="004A080E">
            <w:pPr>
              <w:ind w:left="435"/>
            </w:pPr>
            <w:r w:rsidRPr="00DE41B9">
              <w:t xml:space="preserve">¿Cómo se financia ese esfuerzo? </w:t>
            </w:r>
          </w:p>
        </w:tc>
        <w:tc>
          <w:tcPr>
            <w:tcW w:w="2950" w:type="pct"/>
            <w:shd w:val="clear" w:color="auto" w:fill="F3F9FA"/>
            <w:tcMar>
              <w:top w:w="72" w:type="dxa"/>
              <w:left w:w="144" w:type="dxa"/>
              <w:bottom w:w="72" w:type="dxa"/>
              <w:right w:w="144" w:type="dxa"/>
            </w:tcMar>
            <w:hideMark/>
          </w:tcPr>
          <w:p w:rsidR="00DE41B9" w:rsidRPr="00DE41B9" w:rsidRDefault="00DE41B9" w:rsidP="004A080E">
            <w:pPr>
              <w:ind w:left="435"/>
            </w:pPr>
            <w:r w:rsidRPr="00DE41B9">
              <w:t>Gasto en I+D/ACT por fuente de financiamiento</w:t>
            </w:r>
          </w:p>
          <w:p w:rsidR="00C91852" w:rsidRPr="00DE41B9" w:rsidRDefault="00DE41B9" w:rsidP="004A080E">
            <w:pPr>
              <w:ind w:left="435"/>
            </w:pPr>
            <w:r w:rsidRPr="00DE41B9">
              <w:t>Participación de fuentes nacionales e</w:t>
            </w:r>
            <w:r>
              <w:t xml:space="preserve">n el </w:t>
            </w:r>
            <w:r w:rsidRPr="00DE41B9">
              <w:t xml:space="preserve">financiamiento de la I+D/ACT por rubro </w:t>
            </w:r>
          </w:p>
        </w:tc>
      </w:tr>
      <w:tr w:rsidR="00DE41B9" w:rsidRPr="00DE41B9" w:rsidTr="004A080E">
        <w:trPr>
          <w:trHeight w:val="584"/>
        </w:trPr>
        <w:tc>
          <w:tcPr>
            <w:tcW w:w="2050" w:type="pct"/>
            <w:shd w:val="clear" w:color="auto" w:fill="E7F3F4"/>
            <w:tcMar>
              <w:top w:w="72" w:type="dxa"/>
              <w:left w:w="144" w:type="dxa"/>
              <w:bottom w:w="72" w:type="dxa"/>
              <w:right w:w="144" w:type="dxa"/>
            </w:tcMar>
            <w:hideMark/>
          </w:tcPr>
          <w:p w:rsidR="00C91852" w:rsidRPr="00DE41B9" w:rsidRDefault="00DE41B9" w:rsidP="004A080E">
            <w:pPr>
              <w:ind w:left="435"/>
              <w:rPr>
                <w:lang w:val="en-US"/>
              </w:rPr>
            </w:pPr>
            <w:r w:rsidRPr="00DE41B9">
              <w:t xml:space="preserve">¿En qué se invierte? </w:t>
            </w:r>
          </w:p>
        </w:tc>
        <w:tc>
          <w:tcPr>
            <w:tcW w:w="2950" w:type="pct"/>
            <w:shd w:val="clear" w:color="auto" w:fill="E7F3F4"/>
            <w:tcMar>
              <w:top w:w="72" w:type="dxa"/>
              <w:left w:w="144" w:type="dxa"/>
              <w:bottom w:w="72" w:type="dxa"/>
              <w:right w:w="144" w:type="dxa"/>
            </w:tcMar>
            <w:hideMark/>
          </w:tcPr>
          <w:p w:rsidR="00DE41B9" w:rsidRPr="00DE41B9" w:rsidRDefault="00DE41B9" w:rsidP="004A080E">
            <w:pPr>
              <w:ind w:left="435"/>
            </w:pPr>
            <w:r w:rsidRPr="00DE41B9">
              <w:t>Gasto en I+D/ACT por rubro</w:t>
            </w:r>
          </w:p>
          <w:p w:rsidR="00C91852" w:rsidRPr="00DE41B9" w:rsidRDefault="00DE41B9" w:rsidP="004A080E">
            <w:pPr>
              <w:ind w:left="435"/>
            </w:pPr>
            <w:r w:rsidRPr="00DE41B9">
              <w:t xml:space="preserve">Gasto en I+D por campo del conocimiento </w:t>
            </w:r>
          </w:p>
        </w:tc>
      </w:tr>
      <w:tr w:rsidR="00DE41B9" w:rsidRPr="00DE41B9" w:rsidTr="004A080E">
        <w:trPr>
          <w:trHeight w:val="584"/>
        </w:trPr>
        <w:tc>
          <w:tcPr>
            <w:tcW w:w="2050" w:type="pct"/>
            <w:shd w:val="clear" w:color="auto" w:fill="F3F9FA"/>
            <w:tcMar>
              <w:top w:w="72" w:type="dxa"/>
              <w:left w:w="144" w:type="dxa"/>
              <w:bottom w:w="72" w:type="dxa"/>
              <w:right w:w="144" w:type="dxa"/>
            </w:tcMar>
            <w:hideMark/>
          </w:tcPr>
          <w:p w:rsidR="00C91852" w:rsidRPr="00DE41B9" w:rsidRDefault="00DE41B9" w:rsidP="004A080E">
            <w:pPr>
              <w:ind w:left="435"/>
            </w:pPr>
            <w:r w:rsidRPr="00DE41B9">
              <w:t xml:space="preserve">¿Cómo se compara el esfuerzo de la universidad con otras universidades o con promedios nacionales? </w:t>
            </w:r>
          </w:p>
        </w:tc>
        <w:tc>
          <w:tcPr>
            <w:tcW w:w="2950" w:type="pct"/>
            <w:shd w:val="clear" w:color="auto" w:fill="F3F9FA"/>
            <w:tcMar>
              <w:top w:w="72" w:type="dxa"/>
              <w:left w:w="144" w:type="dxa"/>
              <w:bottom w:w="72" w:type="dxa"/>
              <w:right w:w="144" w:type="dxa"/>
            </w:tcMar>
            <w:hideMark/>
          </w:tcPr>
          <w:p w:rsidR="00DE41B9" w:rsidRPr="00DE41B9" w:rsidRDefault="00DE41B9" w:rsidP="004A080E">
            <w:pPr>
              <w:ind w:left="435"/>
            </w:pPr>
            <w:r w:rsidRPr="00DE41B9">
              <w:t>Gasto en I+D/ACT como proporción del presupuesto de la universidad 1/Gasto en I+D/ACT como proporción del presupuesto de la universidad 2</w:t>
            </w:r>
          </w:p>
          <w:p w:rsidR="00C91852" w:rsidRPr="00DE41B9" w:rsidRDefault="00DE41B9" w:rsidP="004A080E">
            <w:pPr>
              <w:ind w:left="435"/>
            </w:pPr>
            <w:r w:rsidRPr="00DE41B9">
              <w:t>Gasto en I+D por investigador de la universidad 1/Gasto en I+D por investigador en el país</w:t>
            </w:r>
          </w:p>
        </w:tc>
      </w:tr>
    </w:tbl>
    <w:p w:rsidR="00B30FF2" w:rsidRDefault="00DE41B9">
      <w:pPr>
        <w:rPr>
          <w:sz w:val="28"/>
          <w:szCs w:val="28"/>
        </w:rPr>
      </w:pPr>
      <w:r w:rsidRPr="009B233C">
        <w:rPr>
          <w:sz w:val="28"/>
          <w:szCs w:val="28"/>
        </w:rPr>
        <w:t xml:space="preserve">INFORME TALLER DE INDICADORES DE LA FUNCIÓN I+D+i de las </w:t>
      </w:r>
      <w:r w:rsidR="004A080E">
        <w:rPr>
          <w:sz w:val="28"/>
          <w:szCs w:val="28"/>
        </w:rPr>
        <w:t>INSTITUCIONES DE EDUCACIÓN SUPERIOR PÚBLICAS</w:t>
      </w:r>
    </w:p>
    <w:p w:rsidR="004A080E" w:rsidRPr="004A080E" w:rsidRDefault="004A080E">
      <w:pPr>
        <w:rPr>
          <w:sz w:val="24"/>
          <w:szCs w:val="24"/>
        </w:rPr>
      </w:pPr>
      <w:r w:rsidRPr="004A080E">
        <w:rPr>
          <w:sz w:val="24"/>
          <w:szCs w:val="24"/>
        </w:rPr>
        <w:t>INTRODUCCIÓN</w:t>
      </w:r>
    </w:p>
    <w:p w:rsidR="00DE41B9" w:rsidRPr="004A080E" w:rsidRDefault="00DE41B9" w:rsidP="00DE41B9">
      <w:pPr>
        <w:pStyle w:val="Prrafodelista"/>
        <w:numPr>
          <w:ilvl w:val="0"/>
          <w:numId w:val="2"/>
        </w:numPr>
        <w:rPr>
          <w:sz w:val="18"/>
          <w:szCs w:val="18"/>
        </w:rPr>
      </w:pPr>
      <w:r w:rsidRPr="004A080E">
        <w:t>La intervención inicial del Subsecretario de Evaluación Institucional del Ministerio de Ciencia, Tecnología e Innovación Productiva (MINCyT)</w:t>
      </w:r>
      <w:r w:rsidR="009B233C" w:rsidRPr="004A080E">
        <w:t xml:space="preserve">, </w:t>
      </w:r>
      <w:proofErr w:type="spellStart"/>
      <w:r w:rsidR="009B233C" w:rsidRPr="004A080E">
        <w:t>Mg.</w:t>
      </w:r>
      <w:proofErr w:type="spellEnd"/>
      <w:r w:rsidR="009B233C" w:rsidRPr="004A080E">
        <w:t xml:space="preserve"> Lucas </w:t>
      </w:r>
      <w:proofErr w:type="spellStart"/>
      <w:r w:rsidR="009B233C" w:rsidRPr="004A080E">
        <w:t>Luchilo</w:t>
      </w:r>
      <w:proofErr w:type="spellEnd"/>
      <w:r w:rsidR="009B233C" w:rsidRPr="004A080E">
        <w:t xml:space="preserve">, </w:t>
      </w:r>
      <w:r w:rsidRPr="004A080E">
        <w:t>define la forma de obtener indicadores a partir de las preguntas a las que se le</w:t>
      </w:r>
      <w:r w:rsidR="00946799" w:rsidRPr="004A080E">
        <w:t>s</w:t>
      </w:r>
      <w:r w:rsidRPr="004A080E">
        <w:t xml:space="preserve"> busca respuesta.</w:t>
      </w:r>
      <w:r w:rsidR="00946799" w:rsidRPr="004A080E">
        <w:t xml:space="preserve"> Siguen:</w:t>
      </w:r>
    </w:p>
    <w:p w:rsidR="00DE41B9" w:rsidRPr="00A66265" w:rsidRDefault="00A66265">
      <w:pPr>
        <w:rPr>
          <w:i/>
          <w:sz w:val="18"/>
          <w:szCs w:val="18"/>
        </w:rPr>
      </w:pPr>
      <w:r w:rsidRPr="00A66265">
        <w:rPr>
          <w:i/>
          <w:sz w:val="18"/>
          <w:szCs w:val="18"/>
        </w:rPr>
        <w:t xml:space="preserve">Tabla </w:t>
      </w:r>
      <w:r>
        <w:rPr>
          <w:i/>
          <w:sz w:val="18"/>
          <w:szCs w:val="18"/>
        </w:rPr>
        <w:t xml:space="preserve">1. Fuente: Lucas </w:t>
      </w:r>
      <w:proofErr w:type="spellStart"/>
      <w:r>
        <w:rPr>
          <w:i/>
          <w:sz w:val="18"/>
          <w:szCs w:val="18"/>
        </w:rPr>
        <w:t>Luchilo</w:t>
      </w:r>
      <w:proofErr w:type="spellEnd"/>
      <w:r>
        <w:rPr>
          <w:i/>
          <w:sz w:val="18"/>
          <w:szCs w:val="18"/>
        </w:rPr>
        <w:t xml:space="preserve"> 3-MAR-2016.</w:t>
      </w:r>
    </w:p>
    <w:p w:rsidR="00946799" w:rsidRDefault="00946799" w:rsidP="00DE41B9">
      <w:pPr>
        <w:pStyle w:val="Prrafodelista"/>
        <w:numPr>
          <w:ilvl w:val="0"/>
          <w:numId w:val="2"/>
        </w:numPr>
      </w:pPr>
      <w:r>
        <w:t>Se hace notar que todos los datos relacionados con los indicadores buscados hacen referencia al GASTO efectuado en la función. Existen, además, FUENTES de financiamiento que dan origen a los recursos para efectuar los gastos y que se pueden generar indicadores relacionados con aquéllas.</w:t>
      </w:r>
    </w:p>
    <w:p w:rsidR="00DE41B9" w:rsidRDefault="00DE41B9" w:rsidP="00DE41B9">
      <w:pPr>
        <w:pStyle w:val="Prrafodelista"/>
        <w:numPr>
          <w:ilvl w:val="0"/>
          <w:numId w:val="2"/>
        </w:numPr>
      </w:pPr>
      <w:r>
        <w:t xml:space="preserve">Se presenta la matriz </w:t>
      </w:r>
      <w:r w:rsidR="00BE270B">
        <w:t xml:space="preserve">de </w:t>
      </w:r>
      <w:r w:rsidR="00946799">
        <w:t>GASTO/FUENTE</w:t>
      </w:r>
      <w:r w:rsidR="00BE270B">
        <w:t>, ejemplo traído del Plan de Mejoramiento de la Universidad Nacional del Litoral</w:t>
      </w:r>
      <w:r w:rsidR="00946799">
        <w:t xml:space="preserve"> (UNL) para ilustrar el punto anterior.</w:t>
      </w:r>
      <w:r w:rsidR="008A14B5">
        <w:t xml:space="preserve"> En las filas se describen los ítems de GASTO</w:t>
      </w:r>
      <w:r w:rsidR="000F1F03">
        <w:t>S</w:t>
      </w:r>
      <w:r w:rsidR="008A14B5">
        <w:t xml:space="preserve"> siguiendo los incisos del Presupuesto Nacional</w:t>
      </w:r>
    </w:p>
    <w:p w:rsidR="008A14B5" w:rsidRDefault="008A14B5" w:rsidP="008A14B5">
      <w:pPr>
        <w:pStyle w:val="Prrafodelista"/>
        <w:numPr>
          <w:ilvl w:val="1"/>
          <w:numId w:val="2"/>
        </w:numPr>
      </w:pPr>
      <w:r w:rsidRPr="00CC2204">
        <w:rPr>
          <w:u w:val="single"/>
        </w:rPr>
        <w:t xml:space="preserve">Inciso 1 </w:t>
      </w:r>
      <w:r w:rsidR="000F1F03" w:rsidRPr="00CC2204">
        <w:rPr>
          <w:u w:val="single"/>
        </w:rPr>
        <w:t xml:space="preserve"> </w:t>
      </w:r>
      <w:r w:rsidRPr="00CC2204">
        <w:rPr>
          <w:u w:val="single"/>
        </w:rPr>
        <w:t>Personal</w:t>
      </w:r>
      <w:r>
        <w:t xml:space="preserve"> </w:t>
      </w:r>
      <w:r>
        <w:sym w:font="Wingdings" w:char="F0E0"/>
      </w:r>
      <w:r>
        <w:t xml:space="preserve"> Todo el personal dedicado a la actividad</w:t>
      </w:r>
      <w:r w:rsidR="000F1F03">
        <w:t xml:space="preserve"> (I+D+i).</w:t>
      </w:r>
    </w:p>
    <w:p w:rsidR="008A14B5" w:rsidRDefault="008A14B5" w:rsidP="008A14B5">
      <w:pPr>
        <w:pStyle w:val="Prrafodelista"/>
        <w:numPr>
          <w:ilvl w:val="1"/>
          <w:numId w:val="2"/>
        </w:numPr>
      </w:pPr>
      <w:r w:rsidRPr="00CC2204">
        <w:rPr>
          <w:u w:val="single"/>
        </w:rPr>
        <w:lastRenderedPageBreak/>
        <w:t>Inciso 2  Bienes de consumo</w:t>
      </w:r>
      <w:r w:rsidR="009B233C">
        <w:t xml:space="preserve"> </w:t>
      </w:r>
      <w:r w:rsidR="009B233C">
        <w:sym w:font="Wingdings" w:char="F0E0"/>
      </w:r>
      <w:r w:rsidR="00C91852">
        <w:t>Todos los insumos que se agotan en el ejercicio de la actividad,</w:t>
      </w:r>
    </w:p>
    <w:p w:rsidR="008A14B5" w:rsidRDefault="008A14B5" w:rsidP="008A14B5">
      <w:pPr>
        <w:pStyle w:val="Prrafodelista"/>
        <w:numPr>
          <w:ilvl w:val="1"/>
          <w:numId w:val="2"/>
        </w:numPr>
      </w:pPr>
      <w:r w:rsidRPr="00CC2204">
        <w:rPr>
          <w:u w:val="single"/>
        </w:rPr>
        <w:t>Inciso 3  Servicios no Personales</w:t>
      </w:r>
      <w:r>
        <w:t xml:space="preserve"> </w:t>
      </w:r>
      <w:r>
        <w:sym w:font="Wingdings" w:char="F0E0"/>
      </w:r>
      <w:r>
        <w:t xml:space="preserve"> </w:t>
      </w:r>
      <w:r w:rsidR="00C91852">
        <w:t>Contratos (alquileres, consultores), pasajes y</w:t>
      </w:r>
      <w:r w:rsidR="000F1F03">
        <w:t xml:space="preserve"> viáticos, Internet, Servicios P</w:t>
      </w:r>
      <w:r w:rsidR="00C91852">
        <w:t>úblicos.</w:t>
      </w:r>
    </w:p>
    <w:p w:rsidR="008A14B5" w:rsidRDefault="008A14B5" w:rsidP="00C91852">
      <w:pPr>
        <w:pStyle w:val="Prrafodelista"/>
        <w:numPr>
          <w:ilvl w:val="1"/>
          <w:numId w:val="2"/>
        </w:numPr>
      </w:pPr>
      <w:r w:rsidRPr="00CC2204">
        <w:rPr>
          <w:u w:val="single"/>
        </w:rPr>
        <w:t xml:space="preserve">Inciso 4 </w:t>
      </w:r>
      <w:r w:rsidR="009B233C" w:rsidRPr="00CC2204">
        <w:rPr>
          <w:u w:val="single"/>
        </w:rPr>
        <w:t xml:space="preserve"> Bienes de uso</w:t>
      </w:r>
      <w:r w:rsidR="009B233C">
        <w:t xml:space="preserve"> </w:t>
      </w:r>
      <w:r>
        <w:t xml:space="preserve"> </w:t>
      </w:r>
      <w:r w:rsidR="009B233C">
        <w:sym w:font="Wingdings" w:char="F0E0"/>
      </w:r>
      <w:r w:rsidR="009B233C">
        <w:t xml:space="preserve"> Infraestructura y Equipamiento</w:t>
      </w:r>
      <w:r w:rsidR="000F1F03">
        <w:t>.</w:t>
      </w:r>
    </w:p>
    <w:p w:rsidR="000F1F03" w:rsidRDefault="000F1F03" w:rsidP="004A080E">
      <w:pPr>
        <w:pStyle w:val="Prrafodelista"/>
        <w:numPr>
          <w:ilvl w:val="1"/>
          <w:numId w:val="2"/>
        </w:numPr>
        <w:spacing w:after="0"/>
      </w:pPr>
      <w:r w:rsidRPr="00CC2204">
        <w:rPr>
          <w:u w:val="single"/>
        </w:rPr>
        <w:t xml:space="preserve">Inciso 5  </w:t>
      </w:r>
      <w:r w:rsidR="003A4B71" w:rsidRPr="00CC2204">
        <w:rPr>
          <w:u w:val="single"/>
        </w:rPr>
        <w:t>Transferencias</w:t>
      </w:r>
      <w:r w:rsidR="003A4B71">
        <w:t xml:space="preserve"> </w:t>
      </w:r>
      <w:r w:rsidR="003A4B71">
        <w:sym w:font="Wingdings" w:char="F0E0"/>
      </w:r>
      <w:r w:rsidR="003A4B71">
        <w:t xml:space="preserve"> Gastos en Productos de la Actividad: Proyectos de I+D, Patentes, Transferencias y Licencias.</w:t>
      </w:r>
    </w:p>
    <w:p w:rsidR="00DE41B9" w:rsidRDefault="00682B79" w:rsidP="004A080E">
      <w:pPr>
        <w:spacing w:after="0"/>
      </w:pPr>
      <w:proofErr w:type="gramStart"/>
      <w:r>
        <w:t>y</w:t>
      </w:r>
      <w:proofErr w:type="gramEnd"/>
      <w:r w:rsidR="00C91852">
        <w:t xml:space="preserve"> en las columnas las FUENTES de financiamiento</w:t>
      </w:r>
      <w:r>
        <w:t xml:space="preserve">. </w:t>
      </w:r>
      <w:r w:rsidR="00946799">
        <w:t>S</w:t>
      </w:r>
      <w:r>
        <w:t>on comunes a todas las IES públicas las fuentes</w:t>
      </w:r>
      <w:r w:rsidR="00946799">
        <w:t xml:space="preserve"> que se relacionan con la función</w:t>
      </w:r>
      <w:r>
        <w:t>:</w:t>
      </w:r>
    </w:p>
    <w:p w:rsidR="00682B79" w:rsidRDefault="00682B79" w:rsidP="00682B79">
      <w:pPr>
        <w:pStyle w:val="Prrafodelista"/>
        <w:numPr>
          <w:ilvl w:val="0"/>
          <w:numId w:val="3"/>
        </w:numPr>
      </w:pPr>
      <w:r>
        <w:t>Tesoro Nacional</w:t>
      </w:r>
    </w:p>
    <w:p w:rsidR="00682B79" w:rsidRDefault="00682B79" w:rsidP="00682B79">
      <w:pPr>
        <w:pStyle w:val="Prrafodelista"/>
        <w:numPr>
          <w:ilvl w:val="0"/>
          <w:numId w:val="3"/>
        </w:numPr>
      </w:pPr>
      <w:r>
        <w:t>Recursos Propios</w:t>
      </w:r>
    </w:p>
    <w:p w:rsidR="00682B79" w:rsidRDefault="00682B79" w:rsidP="00682B79">
      <w:pPr>
        <w:pStyle w:val="Prrafodelista"/>
        <w:numPr>
          <w:ilvl w:val="0"/>
          <w:numId w:val="3"/>
        </w:numPr>
      </w:pPr>
      <w:r>
        <w:t>CONICET</w:t>
      </w:r>
    </w:p>
    <w:p w:rsidR="00682B79" w:rsidRDefault="00682B79" w:rsidP="00682B79">
      <w:pPr>
        <w:pStyle w:val="Prrafodelista"/>
        <w:numPr>
          <w:ilvl w:val="0"/>
          <w:numId w:val="3"/>
        </w:numPr>
      </w:pPr>
      <w:r>
        <w:t>Agencia Nacional de Promoción Científica y tecnológica (ANPCyT)</w:t>
      </w:r>
    </w:p>
    <w:p w:rsidR="00DE41B9" w:rsidRDefault="00682B79" w:rsidP="00DE41B9">
      <w:pPr>
        <w:pStyle w:val="Prrafodelista"/>
        <w:numPr>
          <w:ilvl w:val="0"/>
          <w:numId w:val="3"/>
        </w:numPr>
      </w:pPr>
      <w:r>
        <w:t>Otros</w:t>
      </w:r>
    </w:p>
    <w:tbl>
      <w:tblPr>
        <w:tblW w:w="0" w:type="auto"/>
        <w:tblLayout w:type="fixed"/>
        <w:tblCellMar>
          <w:left w:w="0" w:type="dxa"/>
          <w:right w:w="0" w:type="dxa"/>
        </w:tblCellMar>
        <w:tblLook w:val="04A0"/>
      </w:tblPr>
      <w:tblGrid>
        <w:gridCol w:w="1716"/>
        <w:gridCol w:w="1508"/>
        <w:gridCol w:w="1612"/>
        <w:gridCol w:w="1612"/>
        <w:gridCol w:w="1612"/>
        <w:gridCol w:w="1612"/>
      </w:tblGrid>
      <w:tr w:rsidR="00BE270B" w:rsidRPr="00CC2204" w:rsidTr="00CC2204">
        <w:trPr>
          <w:trHeight w:val="660"/>
        </w:trPr>
        <w:tc>
          <w:tcPr>
            <w:tcW w:w="1716"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C91852" w:rsidP="00DE41B9">
            <w:pPr>
              <w:ind w:left="435"/>
              <w:rPr>
                <w:sz w:val="16"/>
                <w:szCs w:val="16"/>
              </w:rPr>
            </w:pPr>
          </w:p>
        </w:tc>
        <w:tc>
          <w:tcPr>
            <w:tcW w:w="1508"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b/>
                <w:bCs/>
                <w:sz w:val="16"/>
                <w:szCs w:val="16"/>
                <w:lang w:val="es-MX"/>
              </w:rPr>
              <w:t>Presupuesto UNL fuente tesoro</w:t>
            </w: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DE41B9" w:rsidP="00BE270B">
            <w:pPr>
              <w:rPr>
                <w:sz w:val="16"/>
                <w:szCs w:val="16"/>
              </w:rPr>
            </w:pPr>
            <w:r w:rsidRPr="00CC2204">
              <w:rPr>
                <w:b/>
                <w:bCs/>
                <w:sz w:val="16"/>
                <w:szCs w:val="16"/>
                <w:lang w:val="es-MX"/>
              </w:rPr>
              <w:t>Presupuesto UNL fuente recursos propios</w:t>
            </w: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b/>
                <w:bCs/>
                <w:sz w:val="16"/>
                <w:szCs w:val="16"/>
                <w:lang w:val="es-MX"/>
              </w:rPr>
              <w:t>CONICET</w:t>
            </w: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b/>
                <w:bCs/>
                <w:sz w:val="16"/>
                <w:szCs w:val="16"/>
                <w:lang w:val="es-MX"/>
              </w:rPr>
              <w:t>ANPCYT</w:t>
            </w: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E6E6E6"/>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b/>
                <w:bCs/>
                <w:sz w:val="16"/>
                <w:szCs w:val="16"/>
                <w:lang w:val="es-MX"/>
              </w:rPr>
              <w:t>Otros</w:t>
            </w:r>
            <w:r w:rsidRPr="00CC2204">
              <w:rPr>
                <w:sz w:val="16"/>
                <w:szCs w:val="16"/>
                <w:lang w:val="es-MX"/>
              </w:rPr>
              <w:t xml:space="preserve"> </w:t>
            </w:r>
          </w:p>
        </w:tc>
      </w:tr>
      <w:tr w:rsidR="00BE270B" w:rsidRPr="00CC2204" w:rsidTr="00CC2204">
        <w:trPr>
          <w:trHeight w:val="2177"/>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Personal </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a. Porcentaje de salarios brutos de docentes investigadores activos en el programa de incentivos(75% DE, 50% DSE, 25% DS)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d. Becas del CETRI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e. Porcentaje de salarios investigadores del CONICET que son docentes de la UNL (50%)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g. Becas (monto del componente de becas de proyectos)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h. Programa de incentivos a los docentes investigadores de las universidades nacionales </w:t>
            </w:r>
          </w:p>
        </w:tc>
      </w:tr>
      <w:tr w:rsidR="00BE270B" w:rsidRPr="00CC2204" w:rsidTr="00CC2204">
        <w:trPr>
          <w:trHeight w:val="1630"/>
        </w:trPr>
        <w:tc>
          <w:tcPr>
            <w:tcW w:w="1716"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b. Becas UNL (Total de partidas de los distintos programas de becas) </w:t>
            </w: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f. Becarios en la UNL, incluyendo institutos de doble dependencia (Total de becarios en el año por monto de la beca) </w:t>
            </w: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r>
      <w:tr w:rsidR="00BE270B" w:rsidRPr="00CC2204" w:rsidTr="007614F7">
        <w:trPr>
          <w:trHeight w:val="1497"/>
        </w:trPr>
        <w:tc>
          <w:tcPr>
            <w:tcW w:w="1716"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c. Personal de apoyo (equivalente al 10% del gasto total de personal no docente) </w:t>
            </w: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C91852" w:rsidP="00BE270B">
            <w:pPr>
              <w:rPr>
                <w:sz w:val="16"/>
                <w:szCs w:val="16"/>
              </w:rPr>
            </w:pP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r>
      <w:tr w:rsidR="00BE270B" w:rsidRPr="00CC2204" w:rsidTr="007614F7">
        <w:trPr>
          <w:trHeight w:val="1751"/>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lastRenderedPageBreak/>
              <w:t xml:space="preserve">Bienes y servicios no personales </w:t>
            </w:r>
          </w:p>
        </w:tc>
        <w:tc>
          <w:tcPr>
            <w:tcW w:w="15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i. Porcentaje del gasto UNL (equivalente al porcentaje del gasto en personal en I+D sobre el total del gasto docente de la UNL)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j. Porcentaje del CETRI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l. PIP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m. Componente de gastos de funcionamiento de los Proyectos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n. Proyectos de la provincia: investigación </w:t>
            </w:r>
          </w:p>
        </w:tc>
      </w:tr>
      <w:tr w:rsidR="00BE270B" w:rsidRPr="00CC2204" w:rsidTr="007614F7">
        <w:trPr>
          <w:trHeight w:val="1533"/>
        </w:trPr>
        <w:tc>
          <w:tcPr>
            <w:tcW w:w="1716"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508"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rPr>
            </w:pP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k. Publicaciones</w:t>
            </w:r>
            <w:r w:rsidRPr="00CC2204">
              <w:rPr>
                <w:sz w:val="16"/>
                <w:szCs w:val="16"/>
                <w:lang w:val="es-ES"/>
              </w:rPr>
              <w:t xml:space="preserve"> </w:t>
            </w: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lang w:val="en-US"/>
              </w:rPr>
            </w:pP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DE41B9" w:rsidRPr="00CC2204" w:rsidRDefault="00DE41B9" w:rsidP="00DE41B9">
            <w:pPr>
              <w:rPr>
                <w:sz w:val="16"/>
                <w:szCs w:val="16"/>
                <w:lang w:val="en-US"/>
              </w:rPr>
            </w:pP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o. Proyectos de la provincia: posgrado, vinculación, divulgación </w:t>
            </w:r>
          </w:p>
        </w:tc>
      </w:tr>
      <w:tr w:rsidR="00BE270B" w:rsidRPr="00CC2204" w:rsidTr="007614F7">
        <w:trPr>
          <w:trHeight w:val="1956"/>
        </w:trPr>
        <w:tc>
          <w:tcPr>
            <w:tcW w:w="1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Infraestructura </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p. Gasto financiado por la UNL en los últimos cinco años, dividido por cinco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q. Gasto financiado por el CONICET en los últimos cinco años, dividido por cinco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r. Gasto financiado por la ANPCYT en los últimos cinco años, dividido por cinco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s. Gasto financiado por el Plan nacional de infraestructura científica y tecnológica en los últimos tres años, dividido por tres </w:t>
            </w:r>
          </w:p>
        </w:tc>
      </w:tr>
      <w:tr w:rsidR="00BE270B" w:rsidRPr="00CC2204" w:rsidTr="00CC2204">
        <w:trPr>
          <w:trHeight w:val="1970"/>
        </w:trPr>
        <w:tc>
          <w:tcPr>
            <w:tcW w:w="1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lang w:val="en-US"/>
              </w:rPr>
            </w:pPr>
            <w:r w:rsidRPr="00CC2204">
              <w:rPr>
                <w:sz w:val="16"/>
                <w:szCs w:val="16"/>
                <w:lang w:val="es-MX"/>
              </w:rPr>
              <w:t xml:space="preserve">Equipamiento </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t. Gasto financiado por la UNL en los últimos ocho años, dividido por ocho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DE41B9" w:rsidP="00BE270B">
            <w:pPr>
              <w:rPr>
                <w:sz w:val="16"/>
                <w:szCs w:val="16"/>
              </w:rPr>
            </w:pPr>
            <w:r w:rsidRPr="00CC2204">
              <w:rPr>
                <w:sz w:val="16"/>
                <w:szCs w:val="16"/>
                <w:lang w:val="es-MX"/>
              </w:rPr>
              <w:t xml:space="preserve">u. Componente de equipamiento de los proyectos de la agencia en los últimos ocho años, dividido por ocho </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72" w:type="dxa"/>
              <w:left w:w="156" w:type="dxa"/>
              <w:bottom w:w="72" w:type="dxa"/>
              <w:right w:w="156" w:type="dxa"/>
            </w:tcMar>
            <w:vAlign w:val="center"/>
            <w:hideMark/>
          </w:tcPr>
          <w:p w:rsidR="00C91852" w:rsidRPr="00CC2204" w:rsidRDefault="00C91852" w:rsidP="00BE270B">
            <w:pPr>
              <w:rPr>
                <w:sz w:val="16"/>
                <w:szCs w:val="16"/>
              </w:rPr>
            </w:pPr>
          </w:p>
        </w:tc>
      </w:tr>
    </w:tbl>
    <w:p w:rsidR="00DE41B9" w:rsidRPr="00946799" w:rsidRDefault="00A66265" w:rsidP="00CC2204">
      <w:pPr>
        <w:rPr>
          <w:i/>
          <w:sz w:val="18"/>
          <w:szCs w:val="18"/>
        </w:rPr>
      </w:pPr>
      <w:r>
        <w:rPr>
          <w:i/>
          <w:sz w:val="18"/>
          <w:szCs w:val="18"/>
        </w:rPr>
        <w:t>Tabla 2</w:t>
      </w:r>
      <w:r w:rsidR="00CC2204" w:rsidRPr="00946799">
        <w:rPr>
          <w:i/>
          <w:sz w:val="18"/>
          <w:szCs w:val="18"/>
        </w:rPr>
        <w:t>: M</w:t>
      </w:r>
      <w:r w:rsidR="00946799">
        <w:rPr>
          <w:i/>
          <w:sz w:val="18"/>
          <w:szCs w:val="18"/>
        </w:rPr>
        <w:t>odelo de matriz de GASTO/FUENTE</w:t>
      </w:r>
      <w:r w:rsidR="00CC2204" w:rsidRPr="00946799">
        <w:rPr>
          <w:i/>
          <w:sz w:val="18"/>
          <w:szCs w:val="18"/>
        </w:rPr>
        <w:t>.</w:t>
      </w:r>
      <w:r>
        <w:rPr>
          <w:i/>
          <w:sz w:val="18"/>
          <w:szCs w:val="18"/>
        </w:rPr>
        <w:t xml:space="preserve"> Universidad Nacional del Litoral, 2012.</w:t>
      </w:r>
    </w:p>
    <w:p w:rsidR="00CC2204" w:rsidRDefault="00CC2204" w:rsidP="003F0E11">
      <w:pPr>
        <w:pStyle w:val="Prrafodelista"/>
        <w:numPr>
          <w:ilvl w:val="0"/>
          <w:numId w:val="2"/>
        </w:numPr>
      </w:pPr>
      <w:r>
        <w:t xml:space="preserve">Cada </w:t>
      </w:r>
      <w:r w:rsidR="00A66265">
        <w:t>una de las entradas a la Tabla 2</w:t>
      </w:r>
      <w:r>
        <w:t xml:space="preserve"> requiere definiciones acerca de los datos que se relevarán</w:t>
      </w:r>
      <w:r w:rsidR="007614F7">
        <w:t>. Por ejemplo, sin ser exhaustivo</w:t>
      </w:r>
      <w:r w:rsidR="003F0E11">
        <w:t>,</w:t>
      </w:r>
      <w:r>
        <w:t xml:space="preserve"> fracción del personal que se dedica a I+D+i; fracción de </w:t>
      </w:r>
      <w:r w:rsidR="003F0E11">
        <w:t>la infraestructura; cantidad de equipamiento dependiendo de fecha de compra y estado; proyectos: fecha de comienzo, gastos de funcionamiento, servicios relacionados, etc.</w:t>
      </w:r>
    </w:p>
    <w:p w:rsidR="009110AF" w:rsidRDefault="009110AF">
      <w:r>
        <w:br w:type="page"/>
      </w:r>
    </w:p>
    <w:p w:rsidR="00946799" w:rsidRDefault="004A080E" w:rsidP="004A080E">
      <w:r>
        <w:lastRenderedPageBreak/>
        <w:t>TRABAJO DE COMISIONES</w:t>
      </w:r>
    </w:p>
    <w:p w:rsidR="003F0E11" w:rsidRDefault="00946799" w:rsidP="003F0E11">
      <w:pPr>
        <w:pStyle w:val="Prrafodelista"/>
        <w:numPr>
          <w:ilvl w:val="0"/>
          <w:numId w:val="2"/>
        </w:numPr>
      </w:pPr>
      <w:r>
        <w:t>Para dar respuesta a los requerimientos del punto anterior s</w:t>
      </w:r>
      <w:r w:rsidR="003F0E11">
        <w:t>e generan c</w:t>
      </w:r>
      <w:r>
        <w:t>inco comisiones para dar tratamiento a los ítems ilustrados. S</w:t>
      </w:r>
      <w:r w:rsidR="003F0E11">
        <w:t>e instruye</w:t>
      </w:r>
      <w:r>
        <w:t xml:space="preserve"> a las comisiones</w:t>
      </w:r>
      <w:r w:rsidR="003F0E11">
        <w:t xml:space="preserve"> para que produzcan un informe de trabajo que haga recomendaciones</w:t>
      </w:r>
      <w:r>
        <w:t>/definiciones/temas a definir,</w:t>
      </w:r>
      <w:r w:rsidR="003F0E11">
        <w:t xml:space="preserve"> acerca del tratamiento de los datos relevados para la generación del indicador. Las cinco comisiones son:</w:t>
      </w:r>
    </w:p>
    <w:p w:rsidR="003F0E11" w:rsidRDefault="003F0E11" w:rsidP="003F0E11">
      <w:pPr>
        <w:pStyle w:val="Prrafodelista"/>
        <w:numPr>
          <w:ilvl w:val="1"/>
          <w:numId w:val="2"/>
        </w:numPr>
      </w:pPr>
      <w:r>
        <w:t>Comisión 1. Personal de docencia e investigación.</w:t>
      </w:r>
    </w:p>
    <w:p w:rsidR="003F0E11" w:rsidRDefault="003F0E11" w:rsidP="003F0E11">
      <w:pPr>
        <w:pStyle w:val="Prrafodelista"/>
        <w:numPr>
          <w:ilvl w:val="1"/>
          <w:numId w:val="2"/>
        </w:numPr>
      </w:pPr>
      <w:r>
        <w:t>Comisión 2. Personal de apoyo y administración y servicios.</w:t>
      </w:r>
    </w:p>
    <w:p w:rsidR="003F0E11" w:rsidRDefault="003F0E11" w:rsidP="003F0E11">
      <w:pPr>
        <w:pStyle w:val="Prrafodelista"/>
        <w:numPr>
          <w:ilvl w:val="1"/>
          <w:numId w:val="2"/>
        </w:numPr>
      </w:pPr>
      <w:r>
        <w:t>Comisión 3. Infraestructura y equipamiento.</w:t>
      </w:r>
    </w:p>
    <w:p w:rsidR="003F0E11" w:rsidRDefault="003F0E11" w:rsidP="003F0E11">
      <w:pPr>
        <w:pStyle w:val="Prrafodelista"/>
        <w:numPr>
          <w:ilvl w:val="1"/>
          <w:numId w:val="2"/>
        </w:numPr>
      </w:pPr>
      <w:r>
        <w:t>Comisión 4. Proyectos de I+D, patentes, transferencias y licencias.</w:t>
      </w:r>
    </w:p>
    <w:p w:rsidR="003F0E11" w:rsidRDefault="003F0E11" w:rsidP="003F0E11">
      <w:pPr>
        <w:pStyle w:val="Prrafodelista"/>
        <w:numPr>
          <w:ilvl w:val="1"/>
          <w:numId w:val="2"/>
        </w:numPr>
      </w:pPr>
      <w:r>
        <w:t>Comisión 5. Implementación y Sistemas.</w:t>
      </w:r>
    </w:p>
    <w:p w:rsidR="00F20E3A" w:rsidRDefault="00F20E3A" w:rsidP="00F20E3A">
      <w:pPr>
        <w:pStyle w:val="Prrafodelista"/>
        <w:ind w:left="1080"/>
      </w:pPr>
    </w:p>
    <w:p w:rsidR="003F0E11" w:rsidRDefault="0071440F" w:rsidP="003F0E11">
      <w:pPr>
        <w:pStyle w:val="Prrafodelista"/>
        <w:numPr>
          <w:ilvl w:val="0"/>
          <w:numId w:val="2"/>
        </w:numPr>
      </w:pPr>
      <w:r w:rsidRPr="00F20E3A">
        <w:rPr>
          <w:u w:val="single"/>
        </w:rPr>
        <w:t>COMISIÓN 1</w:t>
      </w:r>
      <w:r>
        <w:t>.</w:t>
      </w:r>
      <w:r w:rsidR="001E6107">
        <w:t xml:space="preserve"> PERSONAL DE DOCENCIA E INVESTIGACIÓN.</w:t>
      </w:r>
      <w:r>
        <w:t xml:space="preserve"> Definiciones, recomendaciones y temas a definir.</w:t>
      </w:r>
    </w:p>
    <w:p w:rsidR="008D73D1" w:rsidRPr="008D73D1" w:rsidRDefault="008D73D1" w:rsidP="0071440F">
      <w:pPr>
        <w:pStyle w:val="Prrafodelista"/>
        <w:numPr>
          <w:ilvl w:val="0"/>
          <w:numId w:val="9"/>
        </w:numPr>
        <w:spacing w:after="160" w:line="259" w:lineRule="auto"/>
        <w:jc w:val="both"/>
        <w:rPr>
          <w:i/>
        </w:rPr>
      </w:pPr>
      <w:r w:rsidRPr="008D73D1">
        <w:rPr>
          <w:i/>
        </w:rPr>
        <w:t>Definición de investigador universitario.</w:t>
      </w:r>
    </w:p>
    <w:p w:rsidR="0071440F" w:rsidRDefault="00946799" w:rsidP="008D73D1">
      <w:pPr>
        <w:pStyle w:val="Prrafodelista"/>
        <w:spacing w:after="160" w:line="259" w:lineRule="auto"/>
        <w:ind w:left="1800"/>
        <w:jc w:val="both"/>
      </w:pPr>
      <w:r>
        <w:t>Se recomienda definir al investigador universitario a través de alguna de estas cuatro instancias</w:t>
      </w:r>
      <w:r w:rsidR="00F20E3A">
        <w:t>:</w:t>
      </w:r>
    </w:p>
    <w:p w:rsidR="0071440F" w:rsidRDefault="00946799" w:rsidP="0071440F">
      <w:pPr>
        <w:pStyle w:val="Prrafodelista"/>
        <w:numPr>
          <w:ilvl w:val="1"/>
          <w:numId w:val="9"/>
        </w:numPr>
        <w:jc w:val="both"/>
      </w:pPr>
      <w:r>
        <w:t>t</w:t>
      </w:r>
      <w:r w:rsidR="0071440F">
        <w:t>ener un cargo de I+D vigente al año bajo análisis con lugar de trabajo en la Universidad</w:t>
      </w:r>
      <w:r w:rsidR="00F20E3A">
        <w:t xml:space="preserve"> o,</w:t>
      </w:r>
    </w:p>
    <w:p w:rsidR="0071440F" w:rsidRDefault="00946799" w:rsidP="0071440F">
      <w:pPr>
        <w:pStyle w:val="Prrafodelista"/>
        <w:numPr>
          <w:ilvl w:val="1"/>
          <w:numId w:val="9"/>
        </w:numPr>
        <w:jc w:val="both"/>
      </w:pPr>
      <w:r>
        <w:t>t</w:t>
      </w:r>
      <w:r w:rsidR="0071440F">
        <w:t xml:space="preserve">ener un cargo docente universitario/a con el que realiza I+D con dedicación simple, semiexclusiva o exclusiva, con lugar de trabajo en una Universidad, y participar en un proyecto de I+D reconocido institucionalmente en la Universidad </w:t>
      </w:r>
      <w:r w:rsidR="00F20E3A">
        <w:t>como integrante-investigador o,</w:t>
      </w:r>
    </w:p>
    <w:p w:rsidR="0071440F" w:rsidRDefault="00946799" w:rsidP="0071440F">
      <w:pPr>
        <w:pStyle w:val="Prrafodelista"/>
        <w:numPr>
          <w:ilvl w:val="1"/>
          <w:numId w:val="9"/>
        </w:numPr>
        <w:jc w:val="both"/>
      </w:pPr>
      <w:r>
        <w:t>p</w:t>
      </w:r>
      <w:r w:rsidR="0071440F">
        <w:t xml:space="preserve">articipar en un proyecto de I+D reconocido institucionalmente como director o codirector </w:t>
      </w:r>
      <w:r w:rsidR="00F20E3A">
        <w:t>o,</w:t>
      </w:r>
    </w:p>
    <w:p w:rsidR="0071440F" w:rsidRDefault="00946799" w:rsidP="0071440F">
      <w:pPr>
        <w:pStyle w:val="Prrafodelista"/>
        <w:numPr>
          <w:ilvl w:val="1"/>
          <w:numId w:val="9"/>
        </w:numPr>
        <w:jc w:val="both"/>
      </w:pPr>
      <w:r>
        <w:t>r</w:t>
      </w:r>
      <w:r w:rsidR="0071440F">
        <w:t>egistrar al menos 4 productos científico-tecnológicos en los últimos dos años, con lugar de trabajo en la Universidad.</w:t>
      </w:r>
      <w:bookmarkStart w:id="0" w:name="_GoBack"/>
      <w:bookmarkEnd w:id="0"/>
    </w:p>
    <w:p w:rsidR="0071440F" w:rsidRPr="007803E3" w:rsidRDefault="0071440F" w:rsidP="0071440F">
      <w:pPr>
        <w:ind w:left="1440" w:hanging="22"/>
        <w:jc w:val="both"/>
      </w:pPr>
      <w:r>
        <w:t>Se recomienda que estos criterios sean objeto de pruebas mediante las bases del MINCYT y del CIN y eventualmente re discutidos.</w:t>
      </w:r>
    </w:p>
    <w:p w:rsidR="0071440F" w:rsidRPr="008D73D1" w:rsidRDefault="0071440F" w:rsidP="0071440F">
      <w:pPr>
        <w:pStyle w:val="Prrafodelista"/>
        <w:numPr>
          <w:ilvl w:val="0"/>
          <w:numId w:val="9"/>
        </w:numPr>
        <w:spacing w:after="160" w:line="259" w:lineRule="auto"/>
        <w:jc w:val="both"/>
        <w:rPr>
          <w:i/>
        </w:rPr>
      </w:pPr>
      <w:r w:rsidRPr="008D73D1">
        <w:rPr>
          <w:i/>
        </w:rPr>
        <w:t xml:space="preserve">Coeficientes para afectar los </w:t>
      </w:r>
      <w:r w:rsidR="00B13CC2" w:rsidRPr="008D73D1">
        <w:rPr>
          <w:i/>
        </w:rPr>
        <w:t xml:space="preserve">GASTOS en </w:t>
      </w:r>
      <w:r w:rsidRPr="008D73D1">
        <w:rPr>
          <w:i/>
        </w:rPr>
        <w:t>salarios para calcular la inversión en I+D.</w:t>
      </w:r>
    </w:p>
    <w:p w:rsidR="0071440F" w:rsidRPr="007803E3" w:rsidRDefault="0071440F" w:rsidP="00F20E3A">
      <w:pPr>
        <w:pStyle w:val="Prrafodelista"/>
        <w:numPr>
          <w:ilvl w:val="1"/>
          <w:numId w:val="9"/>
        </w:numPr>
        <w:jc w:val="both"/>
      </w:pPr>
      <w:r>
        <w:t>S</w:t>
      </w:r>
      <w:r w:rsidRPr="001E211F">
        <w:t xml:space="preserve">e </w:t>
      </w:r>
      <w:r w:rsidRPr="00B13CC2">
        <w:rPr>
          <w:u w:val="single"/>
        </w:rPr>
        <w:t>acuerda</w:t>
      </w:r>
      <w:r w:rsidRPr="001E211F">
        <w:t xml:space="preserve"> 0,6</w:t>
      </w:r>
      <w:r>
        <w:t xml:space="preserve"> para el salario de dedicación exclusiva;</w:t>
      </w:r>
      <w:r w:rsidRPr="001E211F">
        <w:t xml:space="preserve"> 0,4</w:t>
      </w:r>
      <w:r>
        <w:t xml:space="preserve"> para el de dedicación semiexclusiva</w:t>
      </w:r>
      <w:r w:rsidRPr="001E211F">
        <w:t xml:space="preserve"> y 0,2</w:t>
      </w:r>
      <w:r>
        <w:t xml:space="preserve"> para el de dedicación simple.</w:t>
      </w:r>
    </w:p>
    <w:p w:rsidR="0071440F" w:rsidRPr="008D73D1" w:rsidRDefault="0071440F" w:rsidP="0071440F">
      <w:pPr>
        <w:pStyle w:val="Prrafodelista"/>
        <w:numPr>
          <w:ilvl w:val="0"/>
          <w:numId w:val="9"/>
        </w:numPr>
        <w:spacing w:after="160" w:line="259" w:lineRule="auto"/>
        <w:jc w:val="both"/>
        <w:rPr>
          <w:i/>
        </w:rPr>
      </w:pPr>
      <w:r w:rsidRPr="008D73D1">
        <w:rPr>
          <w:i/>
        </w:rPr>
        <w:t>Contar personas versus contar cargos ¿Se pueden sumar dedicaciones?</w:t>
      </w:r>
    </w:p>
    <w:p w:rsidR="00F20E3A" w:rsidRDefault="00F20E3A" w:rsidP="00F20E3A">
      <w:pPr>
        <w:pStyle w:val="Prrafodelista"/>
        <w:ind w:left="1800"/>
        <w:jc w:val="both"/>
      </w:pPr>
      <w:r>
        <w:t xml:space="preserve">Se recomienda relevar </w:t>
      </w:r>
      <w:r w:rsidRPr="001E211F">
        <w:t>los números de personas físicas y</w:t>
      </w:r>
      <w:r>
        <w:t xml:space="preserve"> de</w:t>
      </w:r>
      <w:r w:rsidRPr="001E211F">
        <w:t xml:space="preserve"> cargos</w:t>
      </w:r>
      <w:r>
        <w:t xml:space="preserve"> por separado </w:t>
      </w:r>
      <w:r w:rsidRPr="001E211F">
        <w:t xml:space="preserve">y </w:t>
      </w:r>
      <w:r>
        <w:t xml:space="preserve">se permite </w:t>
      </w:r>
      <w:r w:rsidRPr="001E211F">
        <w:t xml:space="preserve">adoptar distintos criterios para evaluar producción al interior de cada Universidad. </w:t>
      </w:r>
    </w:p>
    <w:p w:rsidR="00F20E3A" w:rsidRPr="007803E3" w:rsidRDefault="00F20E3A" w:rsidP="00F20E3A">
      <w:pPr>
        <w:pStyle w:val="Prrafodelista"/>
        <w:ind w:left="1800"/>
        <w:jc w:val="both"/>
      </w:pPr>
      <w:r w:rsidRPr="001E211F">
        <w:t xml:space="preserve">Se </w:t>
      </w:r>
      <w:r>
        <w:t>recomienda no cerrar un criterio</w:t>
      </w:r>
      <w:r w:rsidRPr="001E211F">
        <w:t xml:space="preserve"> y segu</w:t>
      </w:r>
      <w:r>
        <w:t>i</w:t>
      </w:r>
      <w:r w:rsidRPr="001E211F">
        <w:t xml:space="preserve">r analizando las características de producción de las distintas dedicaciones, cruzando con el área temática, por ejemplo. El MINCyT ofrece realizar pruebas a sugerencia de las Universidades sobre </w:t>
      </w:r>
      <w:r w:rsidRPr="001E211F">
        <w:lastRenderedPageBreak/>
        <w:t xml:space="preserve">datos específicos de alguna institución, y a su vez solicitan colaboración de las instituciones sumándose al </w:t>
      </w:r>
      <w:r>
        <w:t>Sistema de Gestión de las Organizaciones (</w:t>
      </w:r>
      <w:r w:rsidRPr="001E211F">
        <w:t>SIGEO</w:t>
      </w:r>
      <w:r>
        <w:t>)</w:t>
      </w:r>
      <w:r w:rsidRPr="001E211F">
        <w:t xml:space="preserve">. </w:t>
      </w:r>
    </w:p>
    <w:p w:rsidR="0071440F" w:rsidRPr="008D73D1" w:rsidRDefault="00F20E3A" w:rsidP="0071440F">
      <w:pPr>
        <w:pStyle w:val="Prrafodelista"/>
        <w:numPr>
          <w:ilvl w:val="0"/>
          <w:numId w:val="9"/>
        </w:numPr>
        <w:spacing w:after="160" w:line="259" w:lineRule="auto"/>
        <w:jc w:val="both"/>
        <w:rPr>
          <w:i/>
        </w:rPr>
      </w:pPr>
      <w:r w:rsidRPr="008D73D1">
        <w:rPr>
          <w:i/>
        </w:rPr>
        <w:t>D</w:t>
      </w:r>
      <w:r w:rsidR="0071440F" w:rsidRPr="008D73D1">
        <w:rPr>
          <w:i/>
        </w:rPr>
        <w:t>oble dependencia Universidades-CONICET.</w:t>
      </w:r>
    </w:p>
    <w:p w:rsidR="00F20E3A" w:rsidRDefault="00F20E3A" w:rsidP="00F20E3A">
      <w:pPr>
        <w:pStyle w:val="Prrafodelista"/>
        <w:ind w:left="1800"/>
        <w:jc w:val="both"/>
      </w:pPr>
      <w:r>
        <w:t xml:space="preserve">Se recomienda que,  con respecto a los </w:t>
      </w:r>
      <w:r w:rsidRPr="001E211F">
        <w:t xml:space="preserve">aportes presupuestarios </w:t>
      </w:r>
      <w:r>
        <w:t>que realiza la universidad al</w:t>
      </w:r>
      <w:r w:rsidRPr="001E211F">
        <w:t xml:space="preserve"> salario</w:t>
      </w:r>
      <w:r>
        <w:t xml:space="preserve"> del investigador CONICET</w:t>
      </w:r>
      <w:r w:rsidRPr="001E211F">
        <w:t>, se debe contar solamente el aportado por la Universidad (simple, semi</w:t>
      </w:r>
      <w:r w:rsidR="001E6107">
        <w:t>exclusiva</w:t>
      </w:r>
      <w:r w:rsidRPr="001E211F">
        <w:t xml:space="preserve"> o exclusiva según el cargo que tenga). Con respecto </w:t>
      </w:r>
      <w:r w:rsidR="00B13CC2">
        <w:t>al número de</w:t>
      </w:r>
      <w:r w:rsidR="00B13CC2" w:rsidRPr="001E211F">
        <w:t xml:space="preserve"> investigadores</w:t>
      </w:r>
      <w:r w:rsidR="00B13CC2">
        <w:t xml:space="preserve"> que</w:t>
      </w:r>
      <w:r w:rsidR="00B13CC2" w:rsidRPr="001E211F">
        <w:t xml:space="preserve"> </w:t>
      </w:r>
      <w:r w:rsidR="00B13CC2">
        <w:t>se debe contabilizar</w:t>
      </w:r>
      <w:r w:rsidR="00B13CC2" w:rsidRPr="001E211F">
        <w:t xml:space="preserve"> como de la universidad</w:t>
      </w:r>
      <w:r w:rsidRPr="001E211F">
        <w:t xml:space="preserve">, se </w:t>
      </w:r>
      <w:r w:rsidR="00B13CC2">
        <w:t xml:space="preserve">recomienda adoptar el criterio de </w:t>
      </w:r>
      <w:r w:rsidRPr="001E211F">
        <w:t>que quienes trabajan en la Universidad aún sin cargo universitario, deben visibilizarse. Desde el MINCyT aclaran que están trabajando en las herramientas para visibilizar esa doble dependencia.</w:t>
      </w:r>
    </w:p>
    <w:p w:rsidR="00B13CC2" w:rsidRPr="008D73D1" w:rsidRDefault="00B13CC2" w:rsidP="00B13CC2">
      <w:pPr>
        <w:pStyle w:val="Prrafodelista"/>
        <w:numPr>
          <w:ilvl w:val="0"/>
          <w:numId w:val="9"/>
        </w:numPr>
        <w:jc w:val="both"/>
        <w:rPr>
          <w:i/>
        </w:rPr>
      </w:pPr>
      <w:r w:rsidRPr="008D73D1">
        <w:rPr>
          <w:i/>
        </w:rPr>
        <w:t>Becarios. Se hacen recomendaciones para dos grandes grupos:</w:t>
      </w:r>
    </w:p>
    <w:p w:rsidR="00B13CC2" w:rsidRDefault="00B13CC2" w:rsidP="00B13CC2">
      <w:pPr>
        <w:pStyle w:val="Prrafodelista"/>
        <w:numPr>
          <w:ilvl w:val="1"/>
          <w:numId w:val="9"/>
        </w:numPr>
        <w:jc w:val="both"/>
      </w:pPr>
      <w:r w:rsidRPr="00B13CC2">
        <w:rPr>
          <w:u w:val="single"/>
        </w:rPr>
        <w:t>las becas para graduados destinadas a iniciarse y perfeccionarse en la I+D, realizar estudios de posgrado o posdoctorados o radicar personal altamente calificado</w:t>
      </w:r>
      <w:r w:rsidRPr="00096C69">
        <w:t xml:space="preserve">. En este grupo </w:t>
      </w:r>
      <w:r w:rsidR="001E6107">
        <w:t>deben contarse</w:t>
      </w:r>
      <w:r w:rsidRPr="00096C69">
        <w:t xml:space="preserve"> todos los becarios de los programas propios de las universidades, destinadas a graduados, así como los programas de la CIC, de CONICET, </w:t>
      </w:r>
      <w:r>
        <w:t>ANPCyT</w:t>
      </w:r>
      <w:r w:rsidRPr="00096C69">
        <w:t xml:space="preserve"> y otros organismos reconocidos de CyT. Se requiere que los proyectos donde participan sean reconocidos por las UUNN</w:t>
      </w:r>
      <w:r>
        <w:t xml:space="preserve">. Se recomienda incluir en el rubro </w:t>
      </w:r>
      <w:r w:rsidRPr="00B13CC2">
        <w:rPr>
          <w:u w:val="single"/>
        </w:rPr>
        <w:t>gasto</w:t>
      </w:r>
      <w:r>
        <w:t xml:space="preserve"> los estipendios financiados o cofinanciados por la Universidad. Los estipendios de aquéllas becas que pagan otros organismos directamente al becario no deben incluirse en el gasto.</w:t>
      </w:r>
    </w:p>
    <w:p w:rsidR="001E6107" w:rsidRPr="00096C69" w:rsidRDefault="001E6107" w:rsidP="001E6107">
      <w:pPr>
        <w:pStyle w:val="Prrafodelista"/>
        <w:numPr>
          <w:ilvl w:val="1"/>
          <w:numId w:val="9"/>
        </w:numPr>
        <w:jc w:val="both"/>
      </w:pPr>
      <w:r w:rsidRPr="001E6107">
        <w:rPr>
          <w:u w:val="single"/>
        </w:rPr>
        <w:t>Las becas para estudiantes de grado destinadas a adquirir herramientas de iniciación a la I+D y a favorecer vocaciones científicas.</w:t>
      </w:r>
      <w:r w:rsidRPr="00096C69">
        <w:t xml:space="preserve"> Se requiere que los proyectos donde participa</w:t>
      </w:r>
      <w:r>
        <w:t>n sean reconocidos por las UUNN</w:t>
      </w:r>
      <w:r w:rsidRPr="00096C69">
        <w:t>.</w:t>
      </w:r>
      <w:r>
        <w:t xml:space="preserve"> </w:t>
      </w:r>
      <w:r w:rsidRPr="00096C69">
        <w:t xml:space="preserve">Hay acuerdo en que para las universidades es </w:t>
      </w:r>
      <w:r>
        <w:t xml:space="preserve">un </w:t>
      </w:r>
      <w:r w:rsidRPr="00096C69">
        <w:t xml:space="preserve">programa importante y representa un esfuerzo presupuestario significativo, por lo que deben visibilizarse. Estas comprenden los programas propios de iniciación a la I+D de las Universidades, las EVC del CIN y otras similares de fundaciones y otros organismos de CyT. No incluyen las becas de ayuda económica o para realizar estudios de grado. </w:t>
      </w:r>
    </w:p>
    <w:p w:rsidR="001E6107" w:rsidRDefault="001E6107" w:rsidP="001E6107">
      <w:pPr>
        <w:pStyle w:val="Prrafodelista"/>
        <w:ind w:left="2520"/>
        <w:jc w:val="both"/>
      </w:pPr>
    </w:p>
    <w:p w:rsidR="001E6107" w:rsidRDefault="001E6107" w:rsidP="001E6107">
      <w:pPr>
        <w:pStyle w:val="Prrafodelista"/>
        <w:numPr>
          <w:ilvl w:val="0"/>
          <w:numId w:val="2"/>
        </w:numPr>
      </w:pPr>
      <w:r w:rsidRPr="00F20E3A">
        <w:rPr>
          <w:u w:val="single"/>
        </w:rPr>
        <w:t xml:space="preserve">COMISIÓN </w:t>
      </w:r>
      <w:r>
        <w:rPr>
          <w:u w:val="single"/>
        </w:rPr>
        <w:t>2</w:t>
      </w:r>
      <w:r>
        <w:t>. PERSONAL DE APOYO, ADMINISTRACIÓN Y SERVICIOS. Definiciones, recomendaciones y temas a definir.</w:t>
      </w:r>
    </w:p>
    <w:p w:rsidR="007614F7" w:rsidRDefault="00DB2B72" w:rsidP="00DB2B72">
      <w:pPr>
        <w:pStyle w:val="Prrafodelista"/>
        <w:numPr>
          <w:ilvl w:val="1"/>
          <w:numId w:val="2"/>
        </w:numPr>
        <w:jc w:val="both"/>
      </w:pPr>
      <w:r w:rsidRPr="007614F7">
        <w:rPr>
          <w:u w:val="single"/>
        </w:rPr>
        <w:t>Se advierte</w:t>
      </w:r>
      <w:r>
        <w:t xml:space="preserve"> la dificultad de identificar </w:t>
      </w:r>
      <w:r w:rsidRPr="00096C69">
        <w:t xml:space="preserve">el personal no docente asignado a tareas relacionadas con la I+D, </w:t>
      </w:r>
      <w:r>
        <w:t>y el tiempo destinado</w:t>
      </w:r>
      <w:r w:rsidRPr="00096C69">
        <w:t xml:space="preserve"> </w:t>
      </w:r>
      <w:r>
        <w:t xml:space="preserve">a tareas de apoyo a la función. </w:t>
      </w:r>
      <w:r w:rsidRPr="00096C69">
        <w:t>En la UNL, a los efectos de la autoevaluación de la I+D</w:t>
      </w:r>
      <w:r>
        <w:t xml:space="preserve">, se asignó a </w:t>
      </w:r>
      <w:r w:rsidR="007614F7" w:rsidRPr="007614F7">
        <w:t>GASTO</w:t>
      </w:r>
      <w:r w:rsidRPr="00096C69">
        <w:t xml:space="preserve"> el 10% de la masa salarial del personal no docente ya que esa es la proporción de perfiles técnicos</w:t>
      </w:r>
      <w:r>
        <w:t xml:space="preserve"> sobre el total</w:t>
      </w:r>
      <w:r w:rsidRPr="00096C69">
        <w:t xml:space="preserve"> de la masa no docente. </w:t>
      </w:r>
      <w:r>
        <w:t>E</w:t>
      </w:r>
      <w:r w:rsidRPr="00096C69">
        <w:t xml:space="preserve">l </w:t>
      </w:r>
      <w:r>
        <w:t>CONICET ronda</w:t>
      </w:r>
      <w:r w:rsidRPr="00096C69">
        <w:t xml:space="preserve"> el 10% de personal técnico asociado I+D respecto del personal total, sin considerar personal administrativo. Se </w:t>
      </w:r>
      <w:r>
        <w:t xml:space="preserve">requiere </w:t>
      </w:r>
      <w:r w:rsidRPr="00096C69">
        <w:t>mayor información para continuar la di</w:t>
      </w:r>
      <w:r>
        <w:t xml:space="preserve">scusión de este ítem. </w:t>
      </w:r>
    </w:p>
    <w:p w:rsidR="00DB2B72" w:rsidRDefault="00DB2B72" w:rsidP="00DB2B72">
      <w:pPr>
        <w:pStyle w:val="Prrafodelista"/>
        <w:numPr>
          <w:ilvl w:val="1"/>
          <w:numId w:val="2"/>
        </w:numPr>
        <w:jc w:val="both"/>
      </w:pPr>
      <w:r w:rsidRPr="00DB2B72">
        <w:rPr>
          <w:u w:val="single"/>
        </w:rPr>
        <w:t>Se recomienda</w:t>
      </w:r>
      <w:r w:rsidRPr="00096C69">
        <w:t xml:space="preserve"> que cada universidad evalúe </w:t>
      </w:r>
      <w:r>
        <w:t xml:space="preserve">el </w:t>
      </w:r>
      <w:r w:rsidRPr="00096C69">
        <w:t xml:space="preserve">coeficiente o la relación entre el personal técnico asociado a actividades de </w:t>
      </w:r>
      <w:r>
        <w:t>I</w:t>
      </w:r>
      <w:r w:rsidRPr="00096C69">
        <w:t>+</w:t>
      </w:r>
      <w:r>
        <w:t>D</w:t>
      </w:r>
      <w:r w:rsidRPr="00096C69">
        <w:t xml:space="preserve"> o por investigador. </w:t>
      </w:r>
    </w:p>
    <w:p w:rsidR="00DB2B72" w:rsidRDefault="00DB2B72" w:rsidP="00DB2B72">
      <w:pPr>
        <w:pStyle w:val="Prrafodelista"/>
        <w:ind w:left="1080"/>
        <w:jc w:val="both"/>
      </w:pPr>
    </w:p>
    <w:p w:rsidR="00DB2B72" w:rsidRDefault="00DB2B72" w:rsidP="00DB2B72">
      <w:pPr>
        <w:pStyle w:val="Prrafodelista"/>
        <w:numPr>
          <w:ilvl w:val="0"/>
          <w:numId w:val="2"/>
        </w:numPr>
        <w:jc w:val="both"/>
      </w:pPr>
      <w:r>
        <w:lastRenderedPageBreak/>
        <w:t>Las comisiones 1 y 2 plantean algunas notas para tener en cuenta</w:t>
      </w:r>
      <w:r w:rsidRPr="00DB2B72">
        <w:t>:</w:t>
      </w:r>
    </w:p>
    <w:p w:rsidR="00DB2B72" w:rsidRDefault="008D73D1" w:rsidP="00DB2B72">
      <w:pPr>
        <w:pStyle w:val="Prrafodelista"/>
        <w:numPr>
          <w:ilvl w:val="0"/>
          <w:numId w:val="10"/>
        </w:numPr>
        <w:spacing w:after="160" w:line="259" w:lineRule="auto"/>
        <w:jc w:val="both"/>
      </w:pPr>
      <w:r>
        <w:t>n</w:t>
      </w:r>
      <w:r w:rsidR="00DB2B72" w:rsidRPr="00DB2B72">
        <w:t>ecesidad de definir el “reconocimiento institucional” de proyectos de investigación;</w:t>
      </w:r>
      <w:r w:rsidR="00DB2B72">
        <w:t xml:space="preserve"> </w:t>
      </w:r>
    </w:p>
    <w:p w:rsidR="00DB2B72" w:rsidRPr="00DB2B72" w:rsidRDefault="00DB2B72" w:rsidP="00DB2B72">
      <w:pPr>
        <w:pStyle w:val="Prrafodelista"/>
        <w:numPr>
          <w:ilvl w:val="0"/>
          <w:numId w:val="10"/>
        </w:numPr>
        <w:spacing w:after="160" w:line="259" w:lineRule="auto"/>
        <w:jc w:val="both"/>
      </w:pPr>
      <w:r w:rsidRPr="00DB2B72">
        <w:t>realizar un relevamiento de los estudiantes de posgrado en general y no sólo el subconjunto de los becarios</w:t>
      </w:r>
      <w:r>
        <w:t>;</w:t>
      </w:r>
    </w:p>
    <w:p w:rsidR="00DB2B72" w:rsidRPr="00DB2B72" w:rsidRDefault="00DB2B72" w:rsidP="00DB2B72">
      <w:pPr>
        <w:pStyle w:val="Prrafodelista"/>
        <w:numPr>
          <w:ilvl w:val="0"/>
          <w:numId w:val="10"/>
        </w:numPr>
        <w:spacing w:after="160" w:line="259" w:lineRule="auto"/>
        <w:jc w:val="both"/>
      </w:pPr>
      <w:r w:rsidRPr="00DB2B72">
        <w:t>definir al doctorando-becario</w:t>
      </w:r>
      <w:r>
        <w:rPr>
          <w:lang w:val="en-US"/>
        </w:rPr>
        <w:t>;</w:t>
      </w:r>
    </w:p>
    <w:p w:rsidR="00DB2B72" w:rsidRPr="00DB2B72" w:rsidRDefault="008D73D1" w:rsidP="00DB2B72">
      <w:pPr>
        <w:pStyle w:val="Prrafodelista"/>
        <w:numPr>
          <w:ilvl w:val="0"/>
          <w:numId w:val="10"/>
        </w:numPr>
        <w:spacing w:after="160" w:line="259" w:lineRule="auto"/>
        <w:jc w:val="both"/>
      </w:pPr>
      <w:r>
        <w:t>analizar</w:t>
      </w:r>
      <w:r w:rsidR="00DB2B72" w:rsidRPr="00DB2B72">
        <w:t xml:space="preserve"> alternativas de coeficientes para aplicar al cálculo  de personal no-docente afectado a I+D</w:t>
      </w:r>
      <w:r>
        <w:t>;</w:t>
      </w:r>
    </w:p>
    <w:p w:rsidR="00B97CEB" w:rsidRDefault="008D73D1" w:rsidP="00B97CEB">
      <w:pPr>
        <w:pStyle w:val="Prrafodelista"/>
        <w:numPr>
          <w:ilvl w:val="0"/>
          <w:numId w:val="10"/>
        </w:numPr>
        <w:spacing w:after="160" w:line="259" w:lineRule="auto"/>
        <w:jc w:val="both"/>
      </w:pPr>
      <w:r w:rsidRPr="008D73D1">
        <w:t>explorar personal usando el</w:t>
      </w:r>
      <w:r w:rsidR="00DB2B72" w:rsidRPr="008D73D1">
        <w:t xml:space="preserve"> modo de cálculo mediante el uso de la variable “programa”</w:t>
      </w:r>
      <w:r>
        <w:t xml:space="preserve"> en el SIU Mapuche</w:t>
      </w:r>
      <w:r w:rsidR="00DB2B72" w:rsidRPr="008D73D1">
        <w:t>.</w:t>
      </w:r>
    </w:p>
    <w:p w:rsidR="00B97CEB" w:rsidRPr="008D73D1" w:rsidRDefault="00B97CEB" w:rsidP="00B97CEB">
      <w:pPr>
        <w:pStyle w:val="Prrafodelista"/>
        <w:spacing w:after="160" w:line="259" w:lineRule="auto"/>
        <w:ind w:left="1080"/>
        <w:jc w:val="both"/>
      </w:pPr>
    </w:p>
    <w:p w:rsidR="00B97CEB" w:rsidRDefault="00B97CEB" w:rsidP="007600D8">
      <w:pPr>
        <w:pStyle w:val="Prrafodelista"/>
        <w:numPr>
          <w:ilvl w:val="0"/>
          <w:numId w:val="2"/>
        </w:numPr>
        <w:spacing w:after="0"/>
      </w:pPr>
      <w:r w:rsidRPr="00F20E3A">
        <w:rPr>
          <w:u w:val="single"/>
        </w:rPr>
        <w:t xml:space="preserve">COMISIÓN </w:t>
      </w:r>
      <w:r>
        <w:rPr>
          <w:u w:val="single"/>
        </w:rPr>
        <w:t>3</w:t>
      </w:r>
      <w:r>
        <w:t>. INFR</w:t>
      </w:r>
      <w:r w:rsidR="00A66265">
        <w:t>A</w:t>
      </w:r>
      <w:r>
        <w:t>ESTRUCTURA Y EQUIPAMIENTO. Definiciones, recomendaciones y temas a definir.</w:t>
      </w:r>
    </w:p>
    <w:p w:rsidR="007600D8" w:rsidRDefault="007600D8" w:rsidP="007600D8">
      <w:pPr>
        <w:spacing w:after="0"/>
        <w:ind w:left="360"/>
      </w:pPr>
      <w:r>
        <w:t>Se recomienda adoptar las siguientes definiciones</w:t>
      </w:r>
      <w:r w:rsidR="007614F7">
        <w:t>:</w:t>
      </w:r>
    </w:p>
    <w:p w:rsidR="00B97CEB" w:rsidRPr="007600D8" w:rsidRDefault="007614F7" w:rsidP="007600D8">
      <w:pPr>
        <w:numPr>
          <w:ilvl w:val="1"/>
          <w:numId w:val="2"/>
        </w:numPr>
        <w:spacing w:after="0"/>
        <w:jc w:val="both"/>
      </w:pPr>
      <w:r>
        <w:t>GASTO</w:t>
      </w:r>
      <w:r w:rsidR="00B97CEB" w:rsidRPr="007600D8">
        <w:t xml:space="preserve"> en Infraestructura: </w:t>
      </w:r>
    </w:p>
    <w:p w:rsidR="00B97CEB" w:rsidRPr="00B97CEB" w:rsidRDefault="00B97CEB" w:rsidP="007600D8">
      <w:pPr>
        <w:numPr>
          <w:ilvl w:val="2"/>
          <w:numId w:val="2"/>
        </w:numPr>
        <w:spacing w:after="0"/>
        <w:jc w:val="both"/>
      </w:pPr>
      <w:r w:rsidRPr="00B97CEB">
        <w:t>Obras</w:t>
      </w:r>
      <w:r w:rsidRPr="00B97CEB">
        <w:rPr>
          <w:rStyle w:val="Refdenotaalpie"/>
        </w:rPr>
        <w:footnoteReference w:id="1"/>
      </w:r>
      <w:r w:rsidRPr="00B97CEB">
        <w:t xml:space="preserve">: hace referencia a obras nuevas, ampliaciones, remodelaciones, refacciones. </w:t>
      </w:r>
    </w:p>
    <w:p w:rsidR="00B97CEB" w:rsidRPr="00B97CEB" w:rsidRDefault="00B97CEB" w:rsidP="007600D8">
      <w:pPr>
        <w:numPr>
          <w:ilvl w:val="2"/>
          <w:numId w:val="2"/>
        </w:numPr>
        <w:spacing w:after="0"/>
        <w:jc w:val="both"/>
      </w:pPr>
      <w:r w:rsidRPr="00B97CEB">
        <w:t>Alquiler: hace referencia a los espacios alquilados por las universidades para el desarrollo de la función.</w:t>
      </w:r>
    </w:p>
    <w:p w:rsidR="00B97CEB" w:rsidRPr="00B97CEB" w:rsidRDefault="00B97CEB" w:rsidP="007600D8">
      <w:pPr>
        <w:numPr>
          <w:ilvl w:val="2"/>
          <w:numId w:val="2"/>
        </w:numPr>
        <w:spacing w:after="0"/>
        <w:jc w:val="both"/>
      </w:pPr>
      <w:r w:rsidRPr="00B97CEB">
        <w:t>Gastos recurrentes de mantenimiento: hace referencia a servicio de limpieza, de seguridad, luz, gas y agua.</w:t>
      </w:r>
    </w:p>
    <w:p w:rsidR="00B97CEB" w:rsidRPr="007600D8" w:rsidRDefault="007614F7" w:rsidP="007600D8">
      <w:pPr>
        <w:numPr>
          <w:ilvl w:val="1"/>
          <w:numId w:val="2"/>
        </w:numPr>
        <w:spacing w:after="0"/>
        <w:jc w:val="both"/>
      </w:pPr>
      <w:r w:rsidRPr="007600D8">
        <w:t>GASTO</w:t>
      </w:r>
      <w:r w:rsidR="00B97CEB" w:rsidRPr="007600D8">
        <w:t xml:space="preserve"> en Equipamiento: </w:t>
      </w:r>
    </w:p>
    <w:p w:rsidR="00B97CEB" w:rsidRPr="00B97CEB" w:rsidRDefault="00B97CEB" w:rsidP="007600D8">
      <w:pPr>
        <w:numPr>
          <w:ilvl w:val="2"/>
          <w:numId w:val="2"/>
        </w:numPr>
        <w:spacing w:after="0"/>
        <w:jc w:val="both"/>
        <w:rPr>
          <w:u w:val="single"/>
        </w:rPr>
      </w:pPr>
      <w:r w:rsidRPr="00B97CEB">
        <w:t>Nuevo equipamiento: hace referencia a la compra de equipamiento nuevo grande o mediano.</w:t>
      </w:r>
    </w:p>
    <w:p w:rsidR="00B97CEB" w:rsidRPr="00B97CEB" w:rsidRDefault="00B97CEB" w:rsidP="007600D8">
      <w:pPr>
        <w:numPr>
          <w:ilvl w:val="2"/>
          <w:numId w:val="2"/>
        </w:numPr>
        <w:spacing w:after="0"/>
        <w:jc w:val="both"/>
      </w:pPr>
      <w:r w:rsidRPr="00B97CEB">
        <w:t xml:space="preserve">Insumos para grandes equipamientos </w:t>
      </w:r>
    </w:p>
    <w:p w:rsidR="00B97CEB" w:rsidRPr="00B97CEB" w:rsidRDefault="00B97CEB" w:rsidP="007600D8">
      <w:pPr>
        <w:numPr>
          <w:ilvl w:val="2"/>
          <w:numId w:val="2"/>
        </w:numPr>
        <w:spacing w:after="0"/>
        <w:jc w:val="both"/>
      </w:pPr>
      <w:r w:rsidRPr="00B97CEB">
        <w:t>Mantenimiento / servicio técnico (fuera de sistemas nacionales de MINCYT)</w:t>
      </w:r>
    </w:p>
    <w:p w:rsidR="00B97CEB" w:rsidRPr="007600D8" w:rsidRDefault="007614F7" w:rsidP="007600D8">
      <w:pPr>
        <w:numPr>
          <w:ilvl w:val="1"/>
          <w:numId w:val="2"/>
        </w:numPr>
        <w:spacing w:after="0"/>
        <w:jc w:val="both"/>
      </w:pPr>
      <w:r>
        <w:t>GASTO en a</w:t>
      </w:r>
      <w:r w:rsidR="00B97CEB" w:rsidRPr="007600D8">
        <w:t>cervo bibliográfico</w:t>
      </w:r>
      <w:r w:rsidR="00B97CEB" w:rsidRPr="007600D8">
        <w:rPr>
          <w:rStyle w:val="Refdenotaalpie"/>
        </w:rPr>
        <w:footnoteReference w:id="2"/>
      </w:r>
      <w:r w:rsidR="006A25B5">
        <w:t>:</w:t>
      </w:r>
    </w:p>
    <w:p w:rsidR="00B97CEB" w:rsidRPr="00B97CEB" w:rsidRDefault="00B97CEB" w:rsidP="007600D8">
      <w:pPr>
        <w:numPr>
          <w:ilvl w:val="2"/>
          <w:numId w:val="2"/>
        </w:numPr>
        <w:spacing w:after="0"/>
        <w:jc w:val="both"/>
      </w:pPr>
      <w:r w:rsidRPr="00B97CEB">
        <w:t>Nueva bibliografía: hace referencia a la adquisición de nuevo material bibliográfico</w:t>
      </w:r>
    </w:p>
    <w:p w:rsidR="00B97CEB" w:rsidRPr="00B97CEB" w:rsidRDefault="00B97CEB" w:rsidP="007600D8">
      <w:pPr>
        <w:numPr>
          <w:ilvl w:val="2"/>
          <w:numId w:val="2"/>
        </w:numPr>
        <w:spacing w:after="0"/>
        <w:jc w:val="both"/>
      </w:pPr>
      <w:r w:rsidRPr="00B97CEB">
        <w:t>Suscripción a revistas</w:t>
      </w:r>
    </w:p>
    <w:p w:rsidR="00B97CEB" w:rsidRPr="00B97CEB" w:rsidRDefault="00B97CEB" w:rsidP="007600D8">
      <w:pPr>
        <w:numPr>
          <w:ilvl w:val="2"/>
          <w:numId w:val="2"/>
        </w:numPr>
        <w:spacing w:after="0"/>
        <w:jc w:val="both"/>
      </w:pPr>
      <w:r w:rsidRPr="00B97CEB">
        <w:t>Subsidios para compra de bibliografía</w:t>
      </w:r>
      <w:r w:rsidRPr="00B97CEB">
        <w:rPr>
          <w:rStyle w:val="Refdenotaalpie"/>
        </w:rPr>
        <w:footnoteReference w:id="3"/>
      </w:r>
    </w:p>
    <w:p w:rsidR="00B97CEB" w:rsidRPr="007600D8" w:rsidRDefault="007614F7" w:rsidP="007600D8">
      <w:pPr>
        <w:numPr>
          <w:ilvl w:val="1"/>
          <w:numId w:val="2"/>
        </w:numPr>
        <w:spacing w:after="0"/>
        <w:jc w:val="both"/>
      </w:pPr>
      <w:r>
        <w:t xml:space="preserve">GASTO en </w:t>
      </w:r>
      <w:r w:rsidR="00B97CEB" w:rsidRPr="007600D8">
        <w:t>Conectividad</w:t>
      </w:r>
      <w:r w:rsidR="006A25B5">
        <w:t>:</w:t>
      </w:r>
    </w:p>
    <w:p w:rsidR="00B97CEB" w:rsidRPr="00B97CEB" w:rsidRDefault="00B97CEB" w:rsidP="007600D8">
      <w:pPr>
        <w:numPr>
          <w:ilvl w:val="2"/>
          <w:numId w:val="2"/>
        </w:numPr>
        <w:spacing w:after="0"/>
        <w:jc w:val="both"/>
      </w:pPr>
      <w:r w:rsidRPr="00B97CEB">
        <w:t>Gastos recurrentes</w:t>
      </w:r>
    </w:p>
    <w:p w:rsidR="00B97CEB" w:rsidRDefault="00B97CEB" w:rsidP="007600D8">
      <w:pPr>
        <w:numPr>
          <w:ilvl w:val="2"/>
          <w:numId w:val="2"/>
        </w:numPr>
        <w:spacing w:after="0"/>
        <w:jc w:val="both"/>
      </w:pPr>
      <w:r w:rsidRPr="00B97CEB">
        <w:t>Inversión anual</w:t>
      </w:r>
    </w:p>
    <w:p w:rsidR="006A25B5" w:rsidRPr="00B97CEB" w:rsidRDefault="006A25B5" w:rsidP="006A25B5">
      <w:pPr>
        <w:spacing w:after="0"/>
        <w:ind w:left="1800"/>
        <w:jc w:val="both"/>
      </w:pPr>
    </w:p>
    <w:p w:rsidR="007600D8" w:rsidRDefault="007600D8" w:rsidP="006A25B5">
      <w:pPr>
        <w:pStyle w:val="Prrafodelista"/>
        <w:numPr>
          <w:ilvl w:val="0"/>
          <w:numId w:val="2"/>
        </w:numPr>
        <w:spacing w:after="0"/>
        <w:jc w:val="both"/>
      </w:pPr>
      <w:r w:rsidRPr="006A25B5">
        <w:t>Se recomienda utilizar los siguientes datos a ser relevados y las potenciales fuentes de información. Se destaca que los datos relevados para la construcción de los indicadores hacen referencia a los gastos anuales (flujos) quedando aquellos datos de Stock (ej. obras terminadas) para ser contemplados en un futuro relevamiento.</w:t>
      </w:r>
    </w:p>
    <w:p w:rsidR="009110AF" w:rsidRDefault="009110AF" w:rsidP="009110AF">
      <w:pPr>
        <w:pStyle w:val="Prrafodelista"/>
        <w:spacing w:after="0"/>
        <w:ind w:left="360"/>
        <w:jc w:val="both"/>
      </w:pPr>
    </w:p>
    <w:p w:rsidR="006A25B5" w:rsidRPr="006A25B5" w:rsidRDefault="006A25B5" w:rsidP="006A25B5">
      <w:pPr>
        <w:pStyle w:val="Prrafodelista"/>
        <w:spacing w:after="0"/>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2040"/>
        <w:gridCol w:w="2319"/>
        <w:gridCol w:w="3325"/>
      </w:tblGrid>
      <w:tr w:rsidR="007600D8" w:rsidRPr="007600D8" w:rsidTr="007600D8">
        <w:tc>
          <w:tcPr>
            <w:tcW w:w="2053" w:type="pct"/>
            <w:gridSpan w:val="2"/>
            <w:shd w:val="clear" w:color="auto" w:fill="auto"/>
          </w:tcPr>
          <w:p w:rsidR="007600D8" w:rsidRPr="007600D8" w:rsidRDefault="007600D8" w:rsidP="007600D8">
            <w:pPr>
              <w:spacing w:after="0" w:line="240" w:lineRule="auto"/>
              <w:jc w:val="both"/>
              <w:rPr>
                <w:b/>
                <w:sz w:val="20"/>
                <w:szCs w:val="20"/>
              </w:rPr>
            </w:pPr>
            <w:r w:rsidRPr="007600D8">
              <w:rPr>
                <w:b/>
                <w:sz w:val="20"/>
                <w:szCs w:val="20"/>
              </w:rPr>
              <w:lastRenderedPageBreak/>
              <w:t>Dimensiones</w:t>
            </w:r>
          </w:p>
        </w:tc>
        <w:tc>
          <w:tcPr>
            <w:tcW w:w="1211" w:type="pct"/>
            <w:shd w:val="clear" w:color="auto" w:fill="auto"/>
          </w:tcPr>
          <w:p w:rsidR="007600D8" w:rsidRPr="007600D8" w:rsidRDefault="007600D8" w:rsidP="007600D8">
            <w:pPr>
              <w:spacing w:after="0" w:line="240" w:lineRule="auto"/>
              <w:rPr>
                <w:b/>
                <w:sz w:val="20"/>
                <w:szCs w:val="20"/>
              </w:rPr>
            </w:pPr>
            <w:r w:rsidRPr="007600D8">
              <w:rPr>
                <w:b/>
                <w:sz w:val="20"/>
                <w:szCs w:val="20"/>
              </w:rPr>
              <w:t xml:space="preserve">Información a relevar </w:t>
            </w:r>
          </w:p>
        </w:tc>
        <w:tc>
          <w:tcPr>
            <w:tcW w:w="1736" w:type="pct"/>
            <w:shd w:val="clear" w:color="auto" w:fill="auto"/>
          </w:tcPr>
          <w:p w:rsidR="007600D8" w:rsidRPr="007600D8" w:rsidRDefault="007600D8" w:rsidP="007600D8">
            <w:pPr>
              <w:spacing w:after="0" w:line="240" w:lineRule="auto"/>
              <w:jc w:val="both"/>
              <w:rPr>
                <w:b/>
                <w:sz w:val="20"/>
                <w:szCs w:val="20"/>
              </w:rPr>
            </w:pPr>
            <w:r w:rsidRPr="007600D8">
              <w:rPr>
                <w:b/>
                <w:sz w:val="20"/>
                <w:szCs w:val="20"/>
              </w:rPr>
              <w:t>Fuente de datos</w:t>
            </w:r>
          </w:p>
        </w:tc>
      </w:tr>
      <w:tr w:rsidR="007600D8" w:rsidRPr="007600D8" w:rsidTr="007600D8">
        <w:tc>
          <w:tcPr>
            <w:tcW w:w="988" w:type="pct"/>
            <w:vMerge w:val="restart"/>
            <w:shd w:val="clear" w:color="auto" w:fill="auto"/>
          </w:tcPr>
          <w:p w:rsidR="007600D8" w:rsidRPr="007600D8" w:rsidRDefault="007600D8" w:rsidP="007600D8">
            <w:pPr>
              <w:spacing w:after="0" w:line="240" w:lineRule="auto"/>
              <w:jc w:val="both"/>
              <w:rPr>
                <w:sz w:val="20"/>
                <w:szCs w:val="20"/>
              </w:rPr>
            </w:pPr>
            <w:r w:rsidRPr="007600D8">
              <w:rPr>
                <w:sz w:val="20"/>
                <w:szCs w:val="20"/>
              </w:rPr>
              <w:t>Infraestructura</w:t>
            </w: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 xml:space="preserve">Obras </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Tipo de obra (nueva, ampliaciones, remodelaciones, refacciones); m2 (cubiertos y libres); Fuente de financiamiento (principal y contraparte</w:t>
            </w:r>
            <w:r w:rsidRPr="007600D8">
              <w:rPr>
                <w:rStyle w:val="Refdenotaalpie"/>
                <w:sz w:val="20"/>
                <w:szCs w:val="20"/>
              </w:rPr>
              <w:footnoteReference w:id="4"/>
            </w:r>
            <w:r w:rsidRPr="007600D8">
              <w:rPr>
                <w:sz w:val="20"/>
                <w:szCs w:val="20"/>
              </w:rPr>
              <w:t>); monto (parte y contraparte).</w:t>
            </w:r>
          </w:p>
        </w:tc>
        <w:tc>
          <w:tcPr>
            <w:tcW w:w="1736" w:type="pct"/>
            <w:shd w:val="clear" w:color="auto" w:fill="auto"/>
          </w:tcPr>
          <w:p w:rsidR="007600D8" w:rsidRPr="007600D8" w:rsidRDefault="007600D8" w:rsidP="007600D8">
            <w:pPr>
              <w:spacing w:after="0" w:line="240" w:lineRule="auto"/>
              <w:jc w:val="both"/>
              <w:rPr>
                <w:sz w:val="20"/>
                <w:szCs w:val="20"/>
              </w:rPr>
            </w:pPr>
            <w:r w:rsidRPr="007600D8">
              <w:rPr>
                <w:sz w:val="20"/>
                <w:szCs w:val="20"/>
              </w:rPr>
              <w:t>Obra finalizada se puede ubicar en Sistema Querandí (SIU), el Sistema de Diaguita (Compras y contrataciones); no todas las IUP lo están utilizando; también es necesario utilizar la variable “programa” asociada a los gastos.</w:t>
            </w:r>
          </w:p>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Alquiler</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Monto y m</w:t>
            </w:r>
            <w:r w:rsidRPr="007600D8">
              <w:rPr>
                <w:sz w:val="20"/>
                <w:szCs w:val="20"/>
                <w:vertAlign w:val="superscript"/>
              </w:rPr>
              <w:t>2</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Gastos recurrentes de mantenimiento</w:t>
            </w:r>
          </w:p>
          <w:p w:rsidR="007600D8" w:rsidRPr="007600D8" w:rsidRDefault="007600D8" w:rsidP="007600D8">
            <w:pPr>
              <w:spacing w:after="0" w:line="240" w:lineRule="auto"/>
              <w:jc w:val="both"/>
              <w:rPr>
                <w:sz w:val="20"/>
                <w:szCs w:val="20"/>
              </w:rPr>
            </w:pP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Se sugiere utilizar un porcentaje (a definir) del gasto total de la universidad en estos rubros</w:t>
            </w:r>
            <w:r w:rsidRPr="007600D8">
              <w:rPr>
                <w:rStyle w:val="Refdenotaalpie"/>
                <w:sz w:val="20"/>
                <w:szCs w:val="20"/>
              </w:rPr>
              <w:footnoteReference w:id="5"/>
            </w:r>
            <w:r w:rsidRPr="007600D8">
              <w:rPr>
                <w:sz w:val="20"/>
                <w:szCs w:val="20"/>
              </w:rPr>
              <w:t>.</w:t>
            </w:r>
          </w:p>
          <w:p w:rsidR="007600D8" w:rsidRPr="007600D8" w:rsidRDefault="007600D8" w:rsidP="007600D8">
            <w:pPr>
              <w:spacing w:after="0" w:line="240" w:lineRule="auto"/>
              <w:rPr>
                <w:sz w:val="20"/>
                <w:szCs w:val="20"/>
              </w:rPr>
            </w:pP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val="restart"/>
            <w:shd w:val="clear" w:color="auto" w:fill="auto"/>
          </w:tcPr>
          <w:p w:rsidR="007600D8" w:rsidRPr="007600D8" w:rsidRDefault="007600D8" w:rsidP="007600D8">
            <w:pPr>
              <w:spacing w:after="0" w:line="240" w:lineRule="auto"/>
              <w:jc w:val="both"/>
              <w:rPr>
                <w:sz w:val="20"/>
                <w:szCs w:val="20"/>
              </w:rPr>
            </w:pPr>
            <w:r w:rsidRPr="007600D8">
              <w:rPr>
                <w:sz w:val="20"/>
                <w:szCs w:val="20"/>
              </w:rPr>
              <w:t>Equipamiento</w:t>
            </w:r>
          </w:p>
          <w:p w:rsidR="007600D8" w:rsidRPr="007600D8" w:rsidRDefault="007600D8" w:rsidP="007600D8">
            <w:pPr>
              <w:spacing w:after="0" w:line="240" w:lineRule="auto"/>
              <w:jc w:val="both"/>
              <w:rPr>
                <w:sz w:val="20"/>
                <w:szCs w:val="20"/>
              </w:rPr>
            </w:pPr>
          </w:p>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Nuevo equipamiento</w:t>
            </w:r>
          </w:p>
          <w:p w:rsidR="007600D8" w:rsidRPr="007600D8" w:rsidRDefault="007600D8" w:rsidP="007600D8">
            <w:pPr>
              <w:spacing w:after="0" w:line="240" w:lineRule="auto"/>
              <w:jc w:val="both"/>
              <w:rPr>
                <w:sz w:val="20"/>
                <w:szCs w:val="20"/>
              </w:rPr>
            </w:pP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Tipo de equipamiento (grande o mediano)</w:t>
            </w:r>
            <w:r w:rsidRPr="007600D8">
              <w:rPr>
                <w:rStyle w:val="Refdenotaalpie"/>
                <w:sz w:val="20"/>
                <w:szCs w:val="20"/>
              </w:rPr>
              <w:footnoteReference w:id="6"/>
            </w:r>
            <w:r w:rsidRPr="007600D8">
              <w:rPr>
                <w:sz w:val="20"/>
                <w:szCs w:val="20"/>
              </w:rPr>
              <w:t>; Fuente de financiamiento (principal y contraparte en caso de corresponder); monto (parte y contraparte)</w:t>
            </w:r>
          </w:p>
          <w:p w:rsidR="007600D8" w:rsidRPr="007600D8" w:rsidRDefault="007600D8" w:rsidP="007600D8">
            <w:pPr>
              <w:spacing w:after="0" w:line="240" w:lineRule="auto"/>
              <w:rPr>
                <w:sz w:val="20"/>
                <w:szCs w:val="20"/>
              </w:rPr>
            </w:pP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Insumos para grandes equipamientos</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Gasto anual programado</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Mantenimiento / servicio técnico</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sym w:font="Wingdings" w:char="F0E8"/>
            </w:r>
            <w:r w:rsidRPr="007600D8">
              <w:rPr>
                <w:sz w:val="20"/>
                <w:szCs w:val="20"/>
              </w:rPr>
              <w:t xml:space="preserve"> Definir</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val="restart"/>
            <w:shd w:val="clear" w:color="auto" w:fill="auto"/>
          </w:tcPr>
          <w:p w:rsidR="007600D8" w:rsidRPr="007600D8" w:rsidRDefault="007600D8" w:rsidP="007600D8">
            <w:pPr>
              <w:spacing w:after="0" w:line="240" w:lineRule="auto"/>
              <w:jc w:val="both"/>
              <w:rPr>
                <w:sz w:val="20"/>
                <w:szCs w:val="20"/>
              </w:rPr>
            </w:pPr>
            <w:r w:rsidRPr="007600D8">
              <w:rPr>
                <w:sz w:val="20"/>
                <w:szCs w:val="20"/>
              </w:rPr>
              <w:t>Acervo bibliográfico</w:t>
            </w: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Nueva bibliografía</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Se sugiere utilizar un porcentaje (a definir) de la compra total de la universidad</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Suscripción a revistas</w:t>
            </w:r>
          </w:p>
          <w:p w:rsidR="007600D8" w:rsidRPr="007600D8" w:rsidRDefault="007600D8" w:rsidP="007600D8">
            <w:pPr>
              <w:spacing w:after="0" w:line="240" w:lineRule="auto"/>
              <w:jc w:val="both"/>
              <w:rPr>
                <w:sz w:val="20"/>
                <w:szCs w:val="20"/>
              </w:rPr>
            </w:pP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Monto anual</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Subsidios para compra de bibliografía</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Monto anual</w:t>
            </w: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val="restart"/>
            <w:shd w:val="clear" w:color="auto" w:fill="auto"/>
          </w:tcPr>
          <w:p w:rsidR="007600D8" w:rsidRPr="007600D8" w:rsidRDefault="007600D8" w:rsidP="007600D8">
            <w:pPr>
              <w:spacing w:after="0" w:line="240" w:lineRule="auto"/>
              <w:jc w:val="both"/>
              <w:rPr>
                <w:sz w:val="20"/>
                <w:szCs w:val="20"/>
              </w:rPr>
            </w:pPr>
            <w:r w:rsidRPr="007600D8">
              <w:rPr>
                <w:sz w:val="20"/>
                <w:szCs w:val="20"/>
              </w:rPr>
              <w:t>Conectividad</w:t>
            </w:r>
          </w:p>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Gastos recurrentes</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Se sugiere utilizar un porcentaje (a definir) del gasto total de la universidad.</w:t>
            </w:r>
          </w:p>
          <w:p w:rsidR="007600D8" w:rsidRPr="007600D8" w:rsidRDefault="007600D8" w:rsidP="007600D8">
            <w:pPr>
              <w:spacing w:after="0" w:line="240" w:lineRule="auto"/>
              <w:rPr>
                <w:sz w:val="20"/>
                <w:szCs w:val="20"/>
              </w:rPr>
            </w:pPr>
          </w:p>
        </w:tc>
        <w:tc>
          <w:tcPr>
            <w:tcW w:w="1736" w:type="pct"/>
            <w:shd w:val="clear" w:color="auto" w:fill="auto"/>
          </w:tcPr>
          <w:p w:rsidR="007600D8" w:rsidRPr="007600D8" w:rsidRDefault="007600D8" w:rsidP="007600D8">
            <w:pPr>
              <w:spacing w:after="0" w:line="240" w:lineRule="auto"/>
              <w:jc w:val="both"/>
              <w:rPr>
                <w:sz w:val="20"/>
                <w:szCs w:val="20"/>
              </w:rPr>
            </w:pPr>
          </w:p>
        </w:tc>
      </w:tr>
      <w:tr w:rsidR="007600D8" w:rsidRPr="007600D8" w:rsidTr="007600D8">
        <w:tc>
          <w:tcPr>
            <w:tcW w:w="988" w:type="pct"/>
            <w:vMerge/>
            <w:shd w:val="clear" w:color="auto" w:fill="auto"/>
          </w:tcPr>
          <w:p w:rsidR="007600D8" w:rsidRPr="007600D8" w:rsidRDefault="007600D8" w:rsidP="007600D8">
            <w:pPr>
              <w:spacing w:after="0" w:line="240" w:lineRule="auto"/>
              <w:jc w:val="both"/>
              <w:rPr>
                <w:sz w:val="20"/>
                <w:szCs w:val="20"/>
              </w:rPr>
            </w:pPr>
          </w:p>
        </w:tc>
        <w:tc>
          <w:tcPr>
            <w:tcW w:w="1064" w:type="pct"/>
            <w:shd w:val="clear" w:color="auto" w:fill="auto"/>
          </w:tcPr>
          <w:p w:rsidR="007600D8" w:rsidRPr="007600D8" w:rsidRDefault="007600D8" w:rsidP="007600D8">
            <w:pPr>
              <w:spacing w:after="0" w:line="240" w:lineRule="auto"/>
              <w:jc w:val="both"/>
              <w:rPr>
                <w:sz w:val="20"/>
                <w:szCs w:val="20"/>
              </w:rPr>
            </w:pPr>
            <w:r w:rsidRPr="007600D8">
              <w:rPr>
                <w:sz w:val="20"/>
                <w:szCs w:val="20"/>
              </w:rPr>
              <w:t>Inversión anual</w:t>
            </w:r>
          </w:p>
        </w:tc>
        <w:tc>
          <w:tcPr>
            <w:tcW w:w="1211" w:type="pct"/>
            <w:shd w:val="clear" w:color="auto" w:fill="auto"/>
          </w:tcPr>
          <w:p w:rsidR="007600D8" w:rsidRPr="007600D8" w:rsidRDefault="007600D8" w:rsidP="007600D8">
            <w:pPr>
              <w:spacing w:after="0" w:line="240" w:lineRule="auto"/>
              <w:rPr>
                <w:sz w:val="20"/>
                <w:szCs w:val="20"/>
              </w:rPr>
            </w:pPr>
            <w:r w:rsidRPr="007600D8">
              <w:rPr>
                <w:sz w:val="20"/>
                <w:szCs w:val="20"/>
              </w:rPr>
              <w:t>Se sugiere utilizar un porcentaje (a definir) de la inversión total de la universidad.</w:t>
            </w:r>
          </w:p>
        </w:tc>
        <w:tc>
          <w:tcPr>
            <w:tcW w:w="1736" w:type="pct"/>
            <w:shd w:val="clear" w:color="auto" w:fill="auto"/>
          </w:tcPr>
          <w:p w:rsidR="007600D8" w:rsidRPr="007600D8" w:rsidRDefault="007600D8" w:rsidP="007600D8">
            <w:pPr>
              <w:spacing w:after="0" w:line="240" w:lineRule="auto"/>
              <w:jc w:val="both"/>
              <w:rPr>
                <w:sz w:val="20"/>
                <w:szCs w:val="20"/>
              </w:rPr>
            </w:pPr>
          </w:p>
        </w:tc>
      </w:tr>
    </w:tbl>
    <w:p w:rsidR="007600D8" w:rsidRDefault="00A66265" w:rsidP="007600D8">
      <w:pPr>
        <w:pStyle w:val="Prrafodelista"/>
        <w:spacing w:after="0" w:line="360" w:lineRule="auto"/>
        <w:ind w:left="360"/>
        <w:jc w:val="both"/>
        <w:rPr>
          <w:rFonts w:ascii="Cambria" w:hAnsi="Cambria"/>
          <w:i/>
          <w:sz w:val="18"/>
          <w:szCs w:val="18"/>
        </w:rPr>
      </w:pPr>
      <w:r>
        <w:rPr>
          <w:rFonts w:ascii="Cambria" w:hAnsi="Cambria"/>
          <w:i/>
          <w:sz w:val="18"/>
          <w:szCs w:val="18"/>
        </w:rPr>
        <w:lastRenderedPageBreak/>
        <w:t xml:space="preserve">Tabla 3. Comisión 3 </w:t>
      </w:r>
      <w:r w:rsidR="007614F7">
        <w:rPr>
          <w:rFonts w:ascii="Cambria" w:hAnsi="Cambria"/>
          <w:i/>
          <w:sz w:val="18"/>
          <w:szCs w:val="18"/>
        </w:rPr>
        <w:t xml:space="preserve">- </w:t>
      </w:r>
      <w:r>
        <w:rPr>
          <w:rFonts w:ascii="Cambria" w:hAnsi="Cambria"/>
          <w:i/>
          <w:sz w:val="18"/>
          <w:szCs w:val="18"/>
        </w:rPr>
        <w:t>Infraestructura y Equipamiento. CIN 4-MAR-2016</w:t>
      </w:r>
    </w:p>
    <w:p w:rsidR="007614F7" w:rsidRPr="00A66265" w:rsidRDefault="007614F7" w:rsidP="007600D8">
      <w:pPr>
        <w:pStyle w:val="Prrafodelista"/>
        <w:spacing w:after="0" w:line="360" w:lineRule="auto"/>
        <w:ind w:left="360"/>
        <w:jc w:val="both"/>
        <w:rPr>
          <w:rFonts w:ascii="Cambria" w:hAnsi="Cambria"/>
          <w:i/>
          <w:sz w:val="18"/>
          <w:szCs w:val="18"/>
        </w:rPr>
      </w:pPr>
    </w:p>
    <w:p w:rsidR="007600D8" w:rsidRDefault="007600D8" w:rsidP="007600D8">
      <w:pPr>
        <w:pStyle w:val="Prrafodelista"/>
        <w:numPr>
          <w:ilvl w:val="0"/>
          <w:numId w:val="2"/>
        </w:numPr>
        <w:spacing w:after="0"/>
        <w:jc w:val="both"/>
      </w:pPr>
      <w:r>
        <w:t>La comisi</w:t>
      </w:r>
      <w:r w:rsidRPr="007600D8">
        <w:t>ón</w:t>
      </w:r>
      <w:r>
        <w:t xml:space="preserve"> 3 plantea algunas notas para tener en cuenta</w:t>
      </w:r>
      <w:r w:rsidRPr="00DB2B72">
        <w:t>:</w:t>
      </w:r>
    </w:p>
    <w:p w:rsidR="007600D8" w:rsidRPr="007600D8" w:rsidRDefault="007600D8" w:rsidP="007600D8">
      <w:pPr>
        <w:numPr>
          <w:ilvl w:val="1"/>
          <w:numId w:val="2"/>
        </w:numPr>
        <w:spacing w:after="0" w:line="240" w:lineRule="auto"/>
        <w:jc w:val="both"/>
      </w:pPr>
      <w:r w:rsidRPr="007600D8">
        <w:t xml:space="preserve">Seguridad higiene </w:t>
      </w:r>
      <w:r>
        <w:t xml:space="preserve">queda </w:t>
      </w:r>
      <w:r w:rsidRPr="007600D8">
        <w:t>pendiente</w:t>
      </w:r>
      <w:r>
        <w:t>.</w:t>
      </w:r>
    </w:p>
    <w:p w:rsidR="007600D8" w:rsidRPr="007600D8" w:rsidRDefault="007600D8" w:rsidP="007600D8">
      <w:pPr>
        <w:numPr>
          <w:ilvl w:val="1"/>
          <w:numId w:val="2"/>
        </w:numPr>
        <w:spacing w:after="0" w:line="240" w:lineRule="auto"/>
        <w:jc w:val="both"/>
      </w:pPr>
      <w:r>
        <w:t>Hay p</w:t>
      </w:r>
      <w:r w:rsidRPr="007600D8">
        <w:t>ropuesta</w:t>
      </w:r>
      <w:r>
        <w:t>s</w:t>
      </w:r>
      <w:r w:rsidRPr="007600D8">
        <w:t xml:space="preserve"> de extender el periodo a 10 años (adquisición de equipamiento).</w:t>
      </w:r>
    </w:p>
    <w:p w:rsidR="007600D8" w:rsidRDefault="007600D8" w:rsidP="007600D8">
      <w:pPr>
        <w:numPr>
          <w:ilvl w:val="1"/>
          <w:numId w:val="2"/>
        </w:numPr>
        <w:spacing w:after="0" w:line="240" w:lineRule="auto"/>
        <w:jc w:val="both"/>
      </w:pPr>
      <w:r w:rsidRPr="007600D8">
        <w:t>Analizar modo de cómputo de donaciones o préstamos (no gas</w:t>
      </w:r>
      <w:r w:rsidR="007A09B0">
        <w:t>to).</w:t>
      </w:r>
    </w:p>
    <w:p w:rsidR="00A66265" w:rsidRPr="007600D8" w:rsidRDefault="00A66265" w:rsidP="00A66265">
      <w:pPr>
        <w:spacing w:after="0" w:line="240" w:lineRule="auto"/>
        <w:ind w:left="1080"/>
        <w:jc w:val="both"/>
      </w:pPr>
    </w:p>
    <w:p w:rsidR="00292F75" w:rsidRDefault="00A66265" w:rsidP="00292F75">
      <w:pPr>
        <w:pStyle w:val="Prrafodelista"/>
        <w:numPr>
          <w:ilvl w:val="0"/>
          <w:numId w:val="2"/>
        </w:numPr>
        <w:spacing w:after="0"/>
        <w:ind w:left="284"/>
        <w:jc w:val="both"/>
      </w:pPr>
      <w:r w:rsidRPr="00F20E3A">
        <w:rPr>
          <w:u w:val="single"/>
        </w:rPr>
        <w:t xml:space="preserve">COMISIÓN </w:t>
      </w:r>
      <w:r>
        <w:rPr>
          <w:u w:val="single"/>
        </w:rPr>
        <w:t>4</w:t>
      </w:r>
      <w:r>
        <w:t xml:space="preserve">. </w:t>
      </w:r>
      <w:r w:rsidR="00292F75">
        <w:t>PROYECTOS DE I+D+i, PATENTES, TRANSFERENCIAS Y LICENCIAS</w:t>
      </w:r>
      <w:r>
        <w:t>. Definiciones, recomendaciones y temas a definir.</w:t>
      </w:r>
      <w:r w:rsidR="00292F75">
        <w:t xml:space="preserve"> </w:t>
      </w:r>
    </w:p>
    <w:p w:rsidR="00292F75" w:rsidRDefault="00292F75" w:rsidP="00292F75">
      <w:pPr>
        <w:pStyle w:val="Prrafodelista"/>
        <w:numPr>
          <w:ilvl w:val="0"/>
          <w:numId w:val="14"/>
        </w:numPr>
        <w:spacing w:after="0"/>
        <w:jc w:val="both"/>
      </w:pPr>
      <w:r w:rsidRPr="00292F75">
        <w:t xml:space="preserve">Se define </w:t>
      </w:r>
      <w:r w:rsidRPr="00292F75">
        <w:rPr>
          <w:u w:val="single"/>
        </w:rPr>
        <w:t>proyecto</w:t>
      </w:r>
      <w:r w:rsidRPr="00292F75">
        <w:t xml:space="preserve"> como: una propuesta con objetivos de generación y/o aplicación de conocimientos científicos y/o tecnológicos, a alcanzar mediante una metodología acorde con la naturaleza del problema a ser abordado, con recursos y tiempo de ejecución determinados y habiendo superado una evaluación.</w:t>
      </w:r>
    </w:p>
    <w:p w:rsidR="00292F75" w:rsidRDefault="00292F75" w:rsidP="00292F75">
      <w:pPr>
        <w:pStyle w:val="Prrafodelista"/>
        <w:numPr>
          <w:ilvl w:val="0"/>
          <w:numId w:val="14"/>
        </w:numPr>
        <w:spacing w:after="0"/>
        <w:jc w:val="both"/>
      </w:pPr>
      <w:r>
        <w:t xml:space="preserve">Se recomienda </w:t>
      </w:r>
      <w:r w:rsidRPr="007614F7">
        <w:rPr>
          <w:u w:val="single"/>
        </w:rPr>
        <w:t>definir la cantidad anual</w:t>
      </w:r>
      <w:r>
        <w:t xml:space="preserve"> de proyectos como:</w:t>
      </w:r>
    </w:p>
    <w:p w:rsidR="00292F75" w:rsidRDefault="00292F75" w:rsidP="00292F75">
      <w:pPr>
        <w:numPr>
          <w:ilvl w:val="2"/>
          <w:numId w:val="14"/>
        </w:numPr>
        <w:spacing w:after="0"/>
        <w:jc w:val="both"/>
      </w:pPr>
      <w:r>
        <w:t>Número de proyectos totales vigentes (ver)</w:t>
      </w:r>
    </w:p>
    <w:p w:rsidR="00292F75" w:rsidRDefault="00292F75" w:rsidP="00292F75">
      <w:pPr>
        <w:numPr>
          <w:ilvl w:val="2"/>
          <w:numId w:val="14"/>
        </w:numPr>
        <w:spacing w:after="0"/>
        <w:jc w:val="both"/>
      </w:pPr>
      <w:r>
        <w:t>Número de proyectos vigentes por Unidad Académica o Unidad Ejecutora (tener en cuenta lo que se registre en el sistema SIGEO).</w:t>
      </w:r>
    </w:p>
    <w:p w:rsidR="00292F75" w:rsidRDefault="00292F75" w:rsidP="00292F75">
      <w:pPr>
        <w:numPr>
          <w:ilvl w:val="2"/>
          <w:numId w:val="14"/>
        </w:numPr>
        <w:spacing w:after="0"/>
        <w:jc w:val="both"/>
      </w:pPr>
      <w:r>
        <w:t>Número de proyectos con más de una Unidad Académica o Ejecutora.</w:t>
      </w:r>
      <w:r>
        <w:rPr>
          <w:rStyle w:val="Refdenotaalpie"/>
        </w:rPr>
        <w:footnoteReference w:id="7"/>
      </w:r>
    </w:p>
    <w:p w:rsidR="00292F75" w:rsidRDefault="00292F75" w:rsidP="00292F75">
      <w:pPr>
        <w:pStyle w:val="Prrafodelista"/>
        <w:numPr>
          <w:ilvl w:val="0"/>
          <w:numId w:val="14"/>
        </w:numPr>
        <w:spacing w:after="0"/>
        <w:jc w:val="both"/>
      </w:pPr>
      <w:r>
        <w:t xml:space="preserve">Se recomienda </w:t>
      </w:r>
      <w:r w:rsidRPr="007614F7">
        <w:rPr>
          <w:u w:val="single"/>
        </w:rPr>
        <w:t>clasificar los proyectos</w:t>
      </w:r>
      <w:r>
        <w:t xml:space="preserve"> de acuerdo a:</w:t>
      </w:r>
    </w:p>
    <w:p w:rsidR="00292F75" w:rsidRDefault="00292F75" w:rsidP="00292F75">
      <w:pPr>
        <w:numPr>
          <w:ilvl w:val="2"/>
          <w:numId w:val="14"/>
        </w:numPr>
        <w:spacing w:after="0"/>
        <w:jc w:val="both"/>
      </w:pPr>
      <w:r>
        <w:t>Número por disciplina</w:t>
      </w:r>
    </w:p>
    <w:p w:rsidR="00292F75" w:rsidRDefault="00292F75" w:rsidP="00292F75">
      <w:pPr>
        <w:numPr>
          <w:ilvl w:val="2"/>
          <w:numId w:val="14"/>
        </w:numPr>
        <w:spacing w:after="0"/>
        <w:jc w:val="both"/>
      </w:pPr>
      <w:r>
        <w:t>Número por campo de aplicación</w:t>
      </w:r>
    </w:p>
    <w:p w:rsidR="00292F75" w:rsidRDefault="00292F75" w:rsidP="00292F75">
      <w:pPr>
        <w:numPr>
          <w:ilvl w:val="2"/>
          <w:numId w:val="14"/>
        </w:numPr>
        <w:spacing w:after="0"/>
        <w:jc w:val="both"/>
      </w:pPr>
      <w:r>
        <w:t xml:space="preserve">Número por tipo de actividad </w:t>
      </w:r>
    </w:p>
    <w:p w:rsidR="00292F75" w:rsidRDefault="00292F75" w:rsidP="00292F75">
      <w:pPr>
        <w:numPr>
          <w:ilvl w:val="3"/>
          <w:numId w:val="17"/>
        </w:numPr>
        <w:spacing w:after="0"/>
        <w:jc w:val="both"/>
      </w:pPr>
      <w:r>
        <w:t>orientada o no orientada</w:t>
      </w:r>
    </w:p>
    <w:p w:rsidR="00292F75" w:rsidRDefault="00292F75" w:rsidP="00292F75">
      <w:pPr>
        <w:numPr>
          <w:ilvl w:val="3"/>
          <w:numId w:val="17"/>
        </w:numPr>
        <w:spacing w:after="0"/>
        <w:jc w:val="both"/>
      </w:pPr>
      <w:r>
        <w:t>con o sin demandante</w:t>
      </w:r>
    </w:p>
    <w:p w:rsidR="00292F75" w:rsidRDefault="00292F75" w:rsidP="00292F75">
      <w:pPr>
        <w:numPr>
          <w:ilvl w:val="3"/>
          <w:numId w:val="17"/>
        </w:numPr>
        <w:spacing w:after="0"/>
        <w:jc w:val="both"/>
      </w:pPr>
      <w:r>
        <w:t>con o sin adoptante</w:t>
      </w:r>
    </w:p>
    <w:p w:rsidR="00292F75" w:rsidRDefault="00292F75" w:rsidP="007614F7">
      <w:pPr>
        <w:numPr>
          <w:ilvl w:val="0"/>
          <w:numId w:val="14"/>
        </w:numPr>
        <w:spacing w:after="0"/>
        <w:jc w:val="both"/>
      </w:pPr>
      <w:r>
        <w:t xml:space="preserve">Se recomienda </w:t>
      </w:r>
      <w:r w:rsidRPr="007614F7">
        <w:rPr>
          <w:u w:val="single"/>
        </w:rPr>
        <w:t xml:space="preserve">revisar los sistemas de </w:t>
      </w:r>
      <w:r w:rsidR="007614F7" w:rsidRPr="007614F7">
        <w:rPr>
          <w:u w:val="single"/>
        </w:rPr>
        <w:t>clasificación</w:t>
      </w:r>
      <w:r w:rsidR="007614F7">
        <w:t xml:space="preserve"> </w:t>
      </w:r>
      <w:r>
        <w:t>vigentes</w:t>
      </w:r>
      <w:r w:rsidRPr="00897258">
        <w:t>.</w:t>
      </w:r>
    </w:p>
    <w:p w:rsidR="007614F7" w:rsidRDefault="007614F7" w:rsidP="007614F7">
      <w:pPr>
        <w:numPr>
          <w:ilvl w:val="0"/>
          <w:numId w:val="14"/>
        </w:numPr>
        <w:spacing w:after="0"/>
        <w:jc w:val="both"/>
      </w:pPr>
      <w:r>
        <w:t xml:space="preserve">Se recomienda </w:t>
      </w:r>
      <w:r w:rsidRPr="007614F7">
        <w:rPr>
          <w:u w:val="single"/>
        </w:rPr>
        <w:t>clasificar el financiamiento</w:t>
      </w:r>
      <w:r>
        <w:t xml:space="preserve"> (GASTO/FUENTE) de proyectos como:</w:t>
      </w:r>
    </w:p>
    <w:p w:rsidR="007614F7" w:rsidRDefault="006A25B5" w:rsidP="007614F7">
      <w:pPr>
        <w:numPr>
          <w:ilvl w:val="2"/>
          <w:numId w:val="19"/>
        </w:numPr>
        <w:spacing w:after="0"/>
        <w:jc w:val="both"/>
      </w:pPr>
      <w:r>
        <w:t xml:space="preserve">GASTO. </w:t>
      </w:r>
      <w:r w:rsidR="007614F7">
        <w:t>Número proyectos financiados por la IES pública como único recurso.</w:t>
      </w:r>
    </w:p>
    <w:p w:rsidR="007614F7" w:rsidRDefault="006A25B5" w:rsidP="007614F7">
      <w:pPr>
        <w:numPr>
          <w:ilvl w:val="2"/>
          <w:numId w:val="19"/>
        </w:numPr>
        <w:spacing w:after="0"/>
        <w:jc w:val="both"/>
      </w:pPr>
      <w:r>
        <w:t xml:space="preserve">GASTO. </w:t>
      </w:r>
      <w:r w:rsidR="007614F7">
        <w:t>Número de proyectos mixtos con financiación externa (contraparte de la IES pública).</w:t>
      </w:r>
    </w:p>
    <w:p w:rsidR="007614F7" w:rsidRDefault="006A25B5" w:rsidP="007614F7">
      <w:pPr>
        <w:numPr>
          <w:ilvl w:val="2"/>
          <w:numId w:val="19"/>
        </w:numPr>
        <w:spacing w:after="0"/>
        <w:jc w:val="both"/>
      </w:pPr>
      <w:r>
        <w:t>FUENTE</w:t>
      </w:r>
      <w:r w:rsidR="007614F7">
        <w:t xml:space="preserve"> de financiamiento:</w:t>
      </w:r>
      <w:r w:rsidR="007614F7" w:rsidRPr="009635F7">
        <w:t xml:space="preserve"> </w:t>
      </w:r>
      <w:r w:rsidR="007614F7">
        <w:t>Discriminar monto de cada parte</w:t>
      </w:r>
    </w:p>
    <w:p w:rsidR="007614F7" w:rsidRDefault="007614F7" w:rsidP="007614F7">
      <w:pPr>
        <w:numPr>
          <w:ilvl w:val="3"/>
          <w:numId w:val="20"/>
        </w:numPr>
        <w:spacing w:after="0"/>
      </w:pPr>
      <w:r>
        <w:t>Qué monto invierte la IES pública (</w:t>
      </w:r>
      <w:r w:rsidRPr="007614F7">
        <w:t>sin</w:t>
      </w:r>
      <w:r>
        <w:t xml:space="preserve"> infraestructura y personal)</w:t>
      </w:r>
    </w:p>
    <w:p w:rsidR="007614F7" w:rsidRDefault="007614F7" w:rsidP="007614F7">
      <w:pPr>
        <w:numPr>
          <w:ilvl w:val="3"/>
          <w:numId w:val="20"/>
        </w:numPr>
        <w:spacing w:after="0"/>
      </w:pPr>
      <w:r>
        <w:t>Que monto invierte la fuente externa: discriminar Municipal/Provincial/ Nacional /Internacional /Privada</w:t>
      </w:r>
    </w:p>
    <w:p w:rsidR="007614F7" w:rsidRDefault="006A25B5" w:rsidP="007614F7">
      <w:pPr>
        <w:numPr>
          <w:ilvl w:val="2"/>
          <w:numId w:val="19"/>
        </w:numPr>
        <w:spacing w:after="0"/>
        <w:jc w:val="both"/>
      </w:pPr>
      <w:r>
        <w:t xml:space="preserve">GASTO. </w:t>
      </w:r>
      <w:r w:rsidR="007614F7">
        <w:t>Inversión en becas realizada en la formación de RRHH.</w:t>
      </w:r>
    </w:p>
    <w:p w:rsidR="007614F7" w:rsidRDefault="006A25B5" w:rsidP="007614F7">
      <w:pPr>
        <w:numPr>
          <w:ilvl w:val="2"/>
          <w:numId w:val="19"/>
        </w:numPr>
        <w:spacing w:after="0"/>
        <w:jc w:val="both"/>
      </w:pPr>
      <w:r>
        <w:t xml:space="preserve">GASTO. </w:t>
      </w:r>
      <w:r w:rsidR="007614F7">
        <w:t>Inversión realizada en formación de RRHH excluyendo becas.</w:t>
      </w:r>
    </w:p>
    <w:p w:rsidR="007614F7" w:rsidRDefault="007614F7" w:rsidP="007614F7">
      <w:pPr>
        <w:numPr>
          <w:ilvl w:val="0"/>
          <w:numId w:val="14"/>
        </w:numPr>
        <w:spacing w:after="0"/>
        <w:jc w:val="both"/>
      </w:pPr>
      <w:r>
        <w:lastRenderedPageBreak/>
        <w:t xml:space="preserve">Se recomienda </w:t>
      </w:r>
      <w:r w:rsidR="006A25B5">
        <w:t>para medir la producción:</w:t>
      </w:r>
    </w:p>
    <w:p w:rsidR="006A25B5" w:rsidRDefault="006A25B5" w:rsidP="006A25B5">
      <w:pPr>
        <w:numPr>
          <w:ilvl w:val="2"/>
          <w:numId w:val="14"/>
        </w:numPr>
        <w:spacing w:after="0"/>
        <w:jc w:val="both"/>
        <w:rPr>
          <w:rFonts w:ascii="Calibri" w:eastAsia="Calibri" w:hAnsi="Calibri" w:cs="Times New Roman"/>
        </w:rPr>
      </w:pPr>
      <w:r>
        <w:rPr>
          <w:rFonts w:ascii="Calibri" w:eastAsia="Calibri" w:hAnsi="Calibri" w:cs="Times New Roman"/>
        </w:rPr>
        <w:t>Tipo de producción científica: libros, capítulos, artículos, congresos, audiovisuales.</w:t>
      </w:r>
    </w:p>
    <w:p w:rsidR="006A25B5" w:rsidRDefault="006A25B5" w:rsidP="006A25B5">
      <w:pPr>
        <w:numPr>
          <w:ilvl w:val="3"/>
          <w:numId w:val="14"/>
        </w:numPr>
        <w:spacing w:after="0"/>
        <w:jc w:val="both"/>
        <w:rPr>
          <w:rFonts w:ascii="Calibri" w:eastAsia="Calibri" w:hAnsi="Calibri" w:cs="Times New Roman"/>
        </w:rPr>
      </w:pPr>
      <w:r>
        <w:rPr>
          <w:rFonts w:ascii="Calibri" w:eastAsia="Calibri" w:hAnsi="Calibri" w:cs="Times New Roman"/>
        </w:rPr>
        <w:t>Igual al CVar</w:t>
      </w:r>
    </w:p>
    <w:p w:rsidR="006A25B5" w:rsidRPr="00FF38D4" w:rsidRDefault="006A25B5" w:rsidP="006A25B5">
      <w:pPr>
        <w:numPr>
          <w:ilvl w:val="2"/>
          <w:numId w:val="14"/>
        </w:numPr>
        <w:spacing w:after="0"/>
        <w:jc w:val="both"/>
        <w:rPr>
          <w:rFonts w:ascii="Calibri" w:eastAsia="Calibri" w:hAnsi="Calibri" w:cs="Times New Roman"/>
        </w:rPr>
      </w:pPr>
      <w:r w:rsidRPr="00FF38D4">
        <w:rPr>
          <w:rFonts w:ascii="Calibri" w:eastAsia="Calibri" w:hAnsi="Calibri" w:cs="Times New Roman"/>
        </w:rPr>
        <w:t xml:space="preserve">Transferencias, </w:t>
      </w:r>
      <w:r>
        <w:rPr>
          <w:rFonts w:ascii="Calibri" w:eastAsia="Calibri" w:hAnsi="Calibri" w:cs="Times New Roman"/>
        </w:rPr>
        <w:t>d</w:t>
      </w:r>
      <w:r w:rsidRPr="00FF38D4">
        <w:rPr>
          <w:rFonts w:ascii="Calibri" w:eastAsia="Calibri" w:hAnsi="Calibri" w:cs="Times New Roman"/>
        </w:rPr>
        <w:t>esarrollos tecnológicos</w:t>
      </w:r>
      <w:r>
        <w:rPr>
          <w:rFonts w:ascii="Calibri" w:eastAsia="Calibri" w:hAnsi="Calibri" w:cs="Times New Roman"/>
        </w:rPr>
        <w:t>,</w:t>
      </w:r>
      <w:r w:rsidRPr="00FF38D4">
        <w:rPr>
          <w:rFonts w:ascii="Calibri" w:eastAsia="Calibri" w:hAnsi="Calibri" w:cs="Times New Roman"/>
        </w:rPr>
        <w:t xml:space="preserve"> patentes solicitadas y otorgadas</w:t>
      </w:r>
      <w:r>
        <w:t xml:space="preserve"> como listadas en CVar</w:t>
      </w:r>
      <w:r w:rsidRPr="00FF38D4">
        <w:rPr>
          <w:rFonts w:ascii="Calibri" w:eastAsia="Calibri" w:hAnsi="Calibri" w:cs="Times New Roman"/>
        </w:rPr>
        <w:t>.</w:t>
      </w:r>
    </w:p>
    <w:p w:rsidR="006A25B5" w:rsidRDefault="006A25B5" w:rsidP="006A25B5">
      <w:pPr>
        <w:numPr>
          <w:ilvl w:val="2"/>
          <w:numId w:val="14"/>
        </w:numPr>
        <w:spacing w:after="0"/>
        <w:jc w:val="both"/>
        <w:rPr>
          <w:rFonts w:ascii="Calibri" w:eastAsia="Calibri" w:hAnsi="Calibri" w:cs="Times New Roman"/>
        </w:rPr>
      </w:pPr>
      <w:r>
        <w:rPr>
          <w:rFonts w:ascii="Calibri" w:eastAsia="Calibri" w:hAnsi="Calibri" w:cs="Times New Roman"/>
        </w:rPr>
        <w:t>Servicios tecnológicos de I+D</w:t>
      </w:r>
      <w:r>
        <w:t xml:space="preserve"> como listados en CVar</w:t>
      </w:r>
      <w:r w:rsidRPr="00FF38D4">
        <w:rPr>
          <w:rFonts w:ascii="Calibri" w:eastAsia="Calibri" w:hAnsi="Calibri" w:cs="Times New Roman"/>
        </w:rPr>
        <w:t>.</w:t>
      </w:r>
    </w:p>
    <w:p w:rsidR="006A25B5" w:rsidRDefault="006A25B5" w:rsidP="006A25B5">
      <w:pPr>
        <w:numPr>
          <w:ilvl w:val="2"/>
          <w:numId w:val="14"/>
        </w:numPr>
        <w:spacing w:after="0"/>
        <w:jc w:val="both"/>
        <w:rPr>
          <w:rFonts w:ascii="Calibri" w:eastAsia="Calibri" w:hAnsi="Calibri" w:cs="Times New Roman"/>
        </w:rPr>
      </w:pPr>
      <w:r>
        <w:rPr>
          <w:rFonts w:ascii="Calibri" w:eastAsia="Calibri" w:hAnsi="Calibri" w:cs="Times New Roman"/>
        </w:rPr>
        <w:t>O</w:t>
      </w:r>
      <w:r>
        <w:t>tras formas de producción</w:t>
      </w:r>
      <w:r>
        <w:rPr>
          <w:rFonts w:ascii="Calibri" w:eastAsia="Calibri" w:hAnsi="Calibri" w:cs="Times New Roman"/>
        </w:rPr>
        <w:t xml:space="preserve"> </w:t>
      </w:r>
      <w:r>
        <w:t>(</w:t>
      </w:r>
      <w:r>
        <w:rPr>
          <w:rFonts w:ascii="Calibri" w:eastAsia="Calibri" w:hAnsi="Calibri" w:cs="Times New Roman"/>
        </w:rPr>
        <w:t>ítems que están en el CVar</w:t>
      </w:r>
      <w:r>
        <w:t>)</w:t>
      </w:r>
      <w:r>
        <w:rPr>
          <w:rFonts w:ascii="Calibri" w:eastAsia="Calibri" w:hAnsi="Calibri" w:cs="Times New Roman"/>
        </w:rPr>
        <w:t>: estudios de prospectiva, mejoras legislativas, planes estratégicos,  diseños de políticas.</w:t>
      </w:r>
    </w:p>
    <w:p w:rsidR="006A25B5" w:rsidRPr="00A33E66" w:rsidRDefault="006A25B5" w:rsidP="006A25B5">
      <w:pPr>
        <w:numPr>
          <w:ilvl w:val="2"/>
          <w:numId w:val="14"/>
        </w:numPr>
        <w:spacing w:after="0"/>
        <w:jc w:val="both"/>
        <w:rPr>
          <w:rFonts w:ascii="Calibri" w:eastAsia="Calibri" w:hAnsi="Calibri" w:cs="Times New Roman"/>
        </w:rPr>
      </w:pPr>
      <w:r w:rsidRPr="0093364C">
        <w:rPr>
          <w:rFonts w:ascii="Calibri" w:eastAsia="Calibri" w:hAnsi="Calibri" w:cs="Times New Roman"/>
        </w:rPr>
        <w:t>Unifica</w:t>
      </w:r>
      <w:r>
        <w:rPr>
          <w:rFonts w:ascii="Calibri" w:eastAsia="Calibri" w:hAnsi="Calibri" w:cs="Times New Roman"/>
        </w:rPr>
        <w:t>r</w:t>
      </w:r>
      <w:r w:rsidRPr="0093364C">
        <w:rPr>
          <w:rFonts w:ascii="Calibri" w:eastAsia="Calibri" w:hAnsi="Calibri" w:cs="Times New Roman"/>
        </w:rPr>
        <w:t xml:space="preserve"> la forma de</w:t>
      </w:r>
      <w:r>
        <w:t xml:space="preserve"> citas.</w:t>
      </w:r>
    </w:p>
    <w:p w:rsidR="006A25B5" w:rsidRDefault="006A25B5" w:rsidP="007614F7">
      <w:pPr>
        <w:numPr>
          <w:ilvl w:val="0"/>
          <w:numId w:val="14"/>
        </w:numPr>
        <w:spacing w:after="0"/>
        <w:jc w:val="both"/>
      </w:pPr>
      <w:r>
        <w:t>Se recomienda para determinar cantidad de RRHH en proyectos usar:</w:t>
      </w:r>
    </w:p>
    <w:p w:rsidR="006A25B5" w:rsidRDefault="006A25B5" w:rsidP="006A25B5">
      <w:pPr>
        <w:numPr>
          <w:ilvl w:val="2"/>
          <w:numId w:val="14"/>
        </w:numPr>
        <w:spacing w:after="0"/>
        <w:jc w:val="both"/>
        <w:rPr>
          <w:rFonts w:ascii="Calibri" w:eastAsia="Calibri" w:hAnsi="Calibri" w:cs="Times New Roman"/>
        </w:rPr>
      </w:pPr>
      <w:r>
        <w:t>Número</w:t>
      </w:r>
      <w:r>
        <w:rPr>
          <w:rFonts w:ascii="Calibri" w:eastAsia="Calibri" w:hAnsi="Calibri" w:cs="Times New Roman"/>
        </w:rPr>
        <w:t xml:space="preserve"> de RRHH totales</w:t>
      </w:r>
    </w:p>
    <w:p w:rsidR="006A25B5" w:rsidRDefault="006A25B5" w:rsidP="006A25B5">
      <w:pPr>
        <w:numPr>
          <w:ilvl w:val="2"/>
          <w:numId w:val="14"/>
        </w:numPr>
        <w:spacing w:after="0"/>
        <w:jc w:val="both"/>
        <w:rPr>
          <w:rFonts w:ascii="Calibri" w:eastAsia="Calibri" w:hAnsi="Calibri" w:cs="Times New Roman"/>
        </w:rPr>
      </w:pPr>
      <w:r>
        <w:t>Número</w:t>
      </w:r>
      <w:r>
        <w:rPr>
          <w:rFonts w:ascii="Calibri" w:eastAsia="Calibri" w:hAnsi="Calibri" w:cs="Times New Roman"/>
        </w:rPr>
        <w:t xml:space="preserve"> de RRHH por proyecto</w:t>
      </w:r>
    </w:p>
    <w:p w:rsidR="006A25B5" w:rsidRDefault="006A25B5" w:rsidP="006A25B5">
      <w:pPr>
        <w:numPr>
          <w:ilvl w:val="2"/>
          <w:numId w:val="14"/>
        </w:numPr>
        <w:spacing w:after="0"/>
        <w:jc w:val="both"/>
        <w:rPr>
          <w:rFonts w:ascii="Calibri" w:eastAsia="Calibri" w:hAnsi="Calibri" w:cs="Times New Roman"/>
        </w:rPr>
      </w:pPr>
      <w:r>
        <w:t>Número</w:t>
      </w:r>
      <w:r w:rsidRPr="00A33E66">
        <w:rPr>
          <w:rFonts w:ascii="Calibri" w:eastAsia="Calibri" w:hAnsi="Calibri" w:cs="Times New Roman"/>
        </w:rPr>
        <w:t xml:space="preserve"> investigadores </w:t>
      </w:r>
      <w:r>
        <w:rPr>
          <w:rFonts w:ascii="Calibri" w:eastAsia="Calibri" w:hAnsi="Calibri" w:cs="Times New Roman"/>
        </w:rPr>
        <w:t xml:space="preserve">totales </w:t>
      </w:r>
    </w:p>
    <w:p w:rsidR="006A25B5" w:rsidRDefault="006A25B5" w:rsidP="006A25B5">
      <w:pPr>
        <w:numPr>
          <w:ilvl w:val="2"/>
          <w:numId w:val="14"/>
        </w:numPr>
        <w:spacing w:after="0"/>
        <w:jc w:val="both"/>
        <w:rPr>
          <w:rFonts w:ascii="Calibri" w:eastAsia="Calibri" w:hAnsi="Calibri" w:cs="Times New Roman"/>
        </w:rPr>
      </w:pPr>
      <w:r>
        <w:t>Número</w:t>
      </w:r>
      <w:r>
        <w:rPr>
          <w:rFonts w:ascii="Calibri" w:eastAsia="Calibri" w:hAnsi="Calibri" w:cs="Times New Roman"/>
        </w:rPr>
        <w:t xml:space="preserve"> de investigadores por proyecto</w:t>
      </w:r>
    </w:p>
    <w:p w:rsidR="006A25B5" w:rsidRDefault="006A25B5" w:rsidP="006A25B5">
      <w:pPr>
        <w:numPr>
          <w:ilvl w:val="2"/>
          <w:numId w:val="14"/>
        </w:numPr>
        <w:spacing w:after="0"/>
        <w:jc w:val="both"/>
        <w:rPr>
          <w:rFonts w:ascii="Calibri" w:eastAsia="Calibri" w:hAnsi="Calibri" w:cs="Times New Roman"/>
        </w:rPr>
      </w:pPr>
      <w:r>
        <w:rPr>
          <w:rFonts w:ascii="Calibri" w:eastAsia="Calibri" w:hAnsi="Calibri" w:cs="Times New Roman"/>
        </w:rPr>
        <w:t>Horas dedicadas a la investigación por proyecto</w:t>
      </w:r>
    </w:p>
    <w:p w:rsidR="006A25B5" w:rsidRDefault="006A25B5" w:rsidP="006A25B5">
      <w:pPr>
        <w:numPr>
          <w:ilvl w:val="2"/>
          <w:numId w:val="14"/>
        </w:numPr>
        <w:spacing w:after="0"/>
        <w:jc w:val="both"/>
        <w:rPr>
          <w:rFonts w:ascii="Calibri" w:eastAsia="Calibri" w:hAnsi="Calibri" w:cs="Times New Roman"/>
        </w:rPr>
      </w:pPr>
      <w:r>
        <w:t>Número</w:t>
      </w:r>
      <w:r>
        <w:rPr>
          <w:rFonts w:ascii="Calibri" w:eastAsia="Calibri" w:hAnsi="Calibri" w:cs="Times New Roman"/>
        </w:rPr>
        <w:t xml:space="preserve"> total de RRHH en formación</w:t>
      </w:r>
    </w:p>
    <w:p w:rsidR="006A25B5" w:rsidRDefault="006A25B5" w:rsidP="006A25B5">
      <w:pPr>
        <w:numPr>
          <w:ilvl w:val="2"/>
          <w:numId w:val="14"/>
        </w:numPr>
        <w:spacing w:after="0"/>
        <w:jc w:val="both"/>
        <w:rPr>
          <w:rFonts w:ascii="Calibri" w:eastAsia="Calibri" w:hAnsi="Calibri" w:cs="Times New Roman"/>
        </w:rPr>
      </w:pPr>
      <w:r>
        <w:t>Número</w:t>
      </w:r>
      <w:r>
        <w:rPr>
          <w:rFonts w:ascii="Calibri" w:eastAsia="Calibri" w:hAnsi="Calibri" w:cs="Times New Roman"/>
        </w:rPr>
        <w:t xml:space="preserve"> de RRHH en formación por proyecto</w:t>
      </w:r>
    </w:p>
    <w:p w:rsidR="00C96C59" w:rsidRPr="00C96C59" w:rsidRDefault="00C96C59" w:rsidP="00C96C59">
      <w:pPr>
        <w:numPr>
          <w:ilvl w:val="0"/>
          <w:numId w:val="14"/>
        </w:numPr>
        <w:spacing w:after="0"/>
        <w:jc w:val="both"/>
      </w:pPr>
      <w:r w:rsidRPr="00C96C59">
        <w:t xml:space="preserve">Se recomienda utilizar las siguientes definiciones para </w:t>
      </w:r>
      <w:r w:rsidRPr="00C96C59">
        <w:rPr>
          <w:rFonts w:ascii="Calibri" w:eastAsia="Calibri" w:hAnsi="Calibri" w:cs="Arial"/>
          <w:iCs/>
          <w:color w:val="000000"/>
          <w:shd w:val="clear" w:color="auto" w:fill="FFFFFF"/>
        </w:rPr>
        <w:t>proyectos de I+D+i  (inicio – finalización) adecuados para la toma de decisiones internas de cada UUNN o para dimensionar lo invertido por proyecto específico versus sus logros</w:t>
      </w:r>
      <w:r w:rsidRPr="00C96C59">
        <w:rPr>
          <w:rFonts w:cs="Arial"/>
          <w:iCs/>
          <w:color w:val="000000"/>
          <w:shd w:val="clear" w:color="auto" w:fill="FFFFFF"/>
        </w:rPr>
        <w:t>:</w:t>
      </w:r>
    </w:p>
    <w:p w:rsidR="00C96C59" w:rsidRDefault="00C96C59" w:rsidP="00C96C59">
      <w:pPr>
        <w:pStyle w:val="Prrafodelista"/>
        <w:numPr>
          <w:ilvl w:val="2"/>
          <w:numId w:val="9"/>
        </w:numPr>
        <w:spacing w:after="0"/>
        <w:rPr>
          <w:rFonts w:ascii="Calibri" w:eastAsia="Calibri" w:hAnsi="Calibri" w:cs="Times New Roman"/>
        </w:rPr>
      </w:pPr>
      <w:r>
        <w:rPr>
          <w:rFonts w:ascii="Calibri" w:eastAsia="Calibri" w:hAnsi="Calibri" w:cs="Times New Roman"/>
        </w:rPr>
        <w:t>Seguir los mismos datos del CVar y puntualizar:</w:t>
      </w:r>
    </w:p>
    <w:p w:rsidR="00C96C59" w:rsidRDefault="00C96C59" w:rsidP="00C96C59">
      <w:pPr>
        <w:spacing w:after="0"/>
        <w:ind w:left="2520"/>
        <w:jc w:val="both"/>
        <w:rPr>
          <w:rFonts w:ascii="Calibri" w:eastAsia="Calibri" w:hAnsi="Calibri" w:cs="Times New Roman"/>
        </w:rPr>
      </w:pPr>
      <w:r>
        <w:rPr>
          <w:rFonts w:ascii="Calibri" w:eastAsia="Calibri" w:hAnsi="Calibri" w:cs="Times New Roman"/>
        </w:rPr>
        <w:t>DEPENDENCIA</w:t>
      </w:r>
    </w:p>
    <w:p w:rsidR="00C96C59" w:rsidRDefault="00C96C59" w:rsidP="00C96C59">
      <w:pPr>
        <w:numPr>
          <w:ilvl w:val="3"/>
          <w:numId w:val="22"/>
        </w:numPr>
        <w:spacing w:after="0"/>
        <w:jc w:val="both"/>
        <w:rPr>
          <w:rFonts w:ascii="Calibri" w:eastAsia="Calibri" w:hAnsi="Calibri" w:cs="Times New Roman"/>
        </w:rPr>
      </w:pPr>
      <w:r>
        <w:rPr>
          <w:rFonts w:ascii="Calibri" w:eastAsia="Calibri" w:hAnsi="Calibri" w:cs="Times New Roman"/>
        </w:rPr>
        <w:t>Unidad Académica o Unidad Ejecutora (tener en cuenta lo que se registre en el sistema SIGEO.</w:t>
      </w:r>
    </w:p>
    <w:p w:rsidR="00C96C59" w:rsidRDefault="00C96C59" w:rsidP="00C96C59">
      <w:pPr>
        <w:pStyle w:val="Prrafodelista"/>
        <w:numPr>
          <w:ilvl w:val="2"/>
          <w:numId w:val="9"/>
        </w:numPr>
        <w:spacing w:after="0"/>
        <w:rPr>
          <w:rFonts w:ascii="Calibri" w:eastAsia="Calibri" w:hAnsi="Calibri" w:cs="Times New Roman"/>
        </w:rPr>
      </w:pPr>
      <w:r>
        <w:rPr>
          <w:rFonts w:ascii="Calibri" w:eastAsia="Calibri" w:hAnsi="Calibri" w:cs="Times New Roman"/>
        </w:rPr>
        <w:t>CLASIFICACION</w:t>
      </w:r>
    </w:p>
    <w:p w:rsidR="00C96C59" w:rsidRDefault="00C96C59" w:rsidP="00C96C59">
      <w:pPr>
        <w:numPr>
          <w:ilvl w:val="3"/>
          <w:numId w:val="23"/>
        </w:numPr>
        <w:spacing w:after="0"/>
        <w:jc w:val="both"/>
        <w:rPr>
          <w:rFonts w:ascii="Calibri" w:eastAsia="Calibri" w:hAnsi="Calibri" w:cs="Times New Roman"/>
        </w:rPr>
      </w:pPr>
      <w:r>
        <w:rPr>
          <w:rFonts w:ascii="Calibri" w:eastAsia="Calibri" w:hAnsi="Calibri" w:cs="Times New Roman"/>
        </w:rPr>
        <w:t>Disciplina</w:t>
      </w:r>
    </w:p>
    <w:p w:rsidR="00C96C59" w:rsidRPr="00897258" w:rsidRDefault="00C96C59" w:rsidP="00C96C59">
      <w:pPr>
        <w:numPr>
          <w:ilvl w:val="3"/>
          <w:numId w:val="23"/>
        </w:numPr>
        <w:spacing w:after="0"/>
        <w:jc w:val="both"/>
        <w:rPr>
          <w:rFonts w:ascii="Calibri" w:eastAsia="Calibri" w:hAnsi="Calibri" w:cs="Times New Roman"/>
        </w:rPr>
      </w:pPr>
      <w:r>
        <w:rPr>
          <w:rFonts w:ascii="Calibri" w:eastAsia="Calibri" w:hAnsi="Calibri" w:cs="Times New Roman"/>
        </w:rPr>
        <w:t>C</w:t>
      </w:r>
      <w:r w:rsidRPr="00897258">
        <w:rPr>
          <w:rFonts w:ascii="Calibri" w:eastAsia="Calibri" w:hAnsi="Calibri" w:cs="Times New Roman"/>
        </w:rPr>
        <w:t>ampo de aplicación (Apuntar a una clasificación única. Hay muchos campos de aplicación</w:t>
      </w:r>
      <w:r>
        <w:rPr>
          <w:rFonts w:ascii="Calibri" w:eastAsia="Calibri" w:hAnsi="Calibri" w:cs="Times New Roman"/>
        </w:rPr>
        <w:t>)</w:t>
      </w:r>
      <w:r w:rsidRPr="00897258">
        <w:rPr>
          <w:rFonts w:ascii="Calibri" w:eastAsia="Calibri" w:hAnsi="Calibri" w:cs="Times New Roman"/>
        </w:rPr>
        <w:t>.</w:t>
      </w:r>
    </w:p>
    <w:p w:rsidR="00C96C59" w:rsidRDefault="00C96C59" w:rsidP="00C96C59">
      <w:pPr>
        <w:pStyle w:val="Prrafodelista"/>
        <w:numPr>
          <w:ilvl w:val="2"/>
          <w:numId w:val="9"/>
        </w:numPr>
        <w:spacing w:after="0"/>
        <w:rPr>
          <w:rFonts w:ascii="Calibri" w:eastAsia="Calibri" w:hAnsi="Calibri" w:cs="Times New Roman"/>
        </w:rPr>
      </w:pPr>
      <w:r>
        <w:rPr>
          <w:rFonts w:ascii="Calibri" w:eastAsia="Calibri" w:hAnsi="Calibri" w:cs="Times New Roman"/>
        </w:rPr>
        <w:t>FINANCIAMIENTO</w:t>
      </w:r>
    </w:p>
    <w:p w:rsidR="00C96C59" w:rsidRDefault="00C96C59" w:rsidP="00C96C59">
      <w:pPr>
        <w:numPr>
          <w:ilvl w:val="0"/>
          <w:numId w:val="24"/>
        </w:numPr>
        <w:spacing w:after="0"/>
        <w:jc w:val="both"/>
        <w:rPr>
          <w:rFonts w:ascii="Calibri" w:eastAsia="Calibri" w:hAnsi="Calibri" w:cs="Times New Roman"/>
        </w:rPr>
      </w:pPr>
      <w:r>
        <w:rPr>
          <w:rFonts w:ascii="Calibri" w:eastAsia="Calibri" w:hAnsi="Calibri" w:cs="Times New Roman"/>
        </w:rPr>
        <w:t>Tipo de financiación: interna o mixta</w:t>
      </w:r>
    </w:p>
    <w:p w:rsidR="00C96C59" w:rsidRDefault="00C96C59" w:rsidP="00C96C59">
      <w:pPr>
        <w:numPr>
          <w:ilvl w:val="0"/>
          <w:numId w:val="24"/>
        </w:numPr>
        <w:spacing w:after="0"/>
        <w:jc w:val="both"/>
        <w:rPr>
          <w:rFonts w:ascii="Calibri" w:eastAsia="Calibri" w:hAnsi="Calibri" w:cs="Times New Roman"/>
        </w:rPr>
      </w:pPr>
      <w:r>
        <w:rPr>
          <w:rFonts w:ascii="Calibri" w:eastAsia="Calibri" w:hAnsi="Calibri" w:cs="Times New Roman"/>
        </w:rPr>
        <w:t>Contraparte externa</w:t>
      </w:r>
    </w:p>
    <w:p w:rsidR="00C96C59" w:rsidRDefault="00C96C59" w:rsidP="00C96C59">
      <w:pPr>
        <w:numPr>
          <w:ilvl w:val="0"/>
          <w:numId w:val="24"/>
        </w:numPr>
        <w:spacing w:after="0"/>
        <w:jc w:val="both"/>
        <w:rPr>
          <w:rFonts w:ascii="Calibri" w:eastAsia="Calibri" w:hAnsi="Calibri" w:cs="Times New Roman"/>
        </w:rPr>
      </w:pPr>
      <w:r>
        <w:rPr>
          <w:rFonts w:ascii="Calibri" w:eastAsia="Calibri" w:hAnsi="Calibri" w:cs="Times New Roman"/>
        </w:rPr>
        <w:t>Fuente de financiamiento:</w:t>
      </w:r>
      <w:r w:rsidRPr="009635F7">
        <w:rPr>
          <w:rFonts w:ascii="Calibri" w:eastAsia="Calibri" w:hAnsi="Calibri" w:cs="Times New Roman"/>
        </w:rPr>
        <w:t xml:space="preserve"> </w:t>
      </w:r>
      <w:r>
        <w:rPr>
          <w:rFonts w:ascii="Calibri" w:eastAsia="Calibri" w:hAnsi="Calibri" w:cs="Times New Roman"/>
        </w:rPr>
        <w:t>Discriminar monto de cada parte</w:t>
      </w:r>
    </w:p>
    <w:p w:rsidR="00C96C59" w:rsidRDefault="00C96C59" w:rsidP="00C96C59">
      <w:pPr>
        <w:numPr>
          <w:ilvl w:val="1"/>
          <w:numId w:val="25"/>
        </w:numPr>
        <w:spacing w:after="0"/>
        <w:rPr>
          <w:rFonts w:ascii="Calibri" w:eastAsia="Calibri" w:hAnsi="Calibri" w:cs="Times New Roman"/>
        </w:rPr>
      </w:pPr>
      <w:r>
        <w:rPr>
          <w:rFonts w:ascii="Calibri" w:eastAsia="Calibri" w:hAnsi="Calibri" w:cs="Times New Roman"/>
        </w:rPr>
        <w:t>Que monto invierte la UUNN (</w:t>
      </w:r>
      <w:r w:rsidRPr="004A080E">
        <w:rPr>
          <w:rFonts w:ascii="Calibri" w:eastAsia="Calibri" w:hAnsi="Calibri" w:cs="Times New Roman"/>
        </w:rPr>
        <w:t>incluir</w:t>
      </w:r>
      <w:r>
        <w:rPr>
          <w:rFonts w:ascii="Calibri" w:eastAsia="Calibri" w:hAnsi="Calibri" w:cs="Times New Roman"/>
        </w:rPr>
        <w:t xml:space="preserve"> infraestructura y personal)</w:t>
      </w:r>
    </w:p>
    <w:p w:rsidR="00C96C59" w:rsidRDefault="00C96C59" w:rsidP="00C96C59">
      <w:pPr>
        <w:numPr>
          <w:ilvl w:val="1"/>
          <w:numId w:val="25"/>
        </w:numPr>
        <w:spacing w:after="0"/>
        <w:rPr>
          <w:rFonts w:ascii="Calibri" w:eastAsia="Calibri" w:hAnsi="Calibri" w:cs="Times New Roman"/>
        </w:rPr>
      </w:pPr>
      <w:r>
        <w:rPr>
          <w:rFonts w:ascii="Calibri" w:eastAsia="Calibri" w:hAnsi="Calibri" w:cs="Times New Roman"/>
        </w:rPr>
        <w:t>Que monto invierte el externo: discriminar Municipal/Provincial/ Nacional /Internacional /Privada</w:t>
      </w:r>
    </w:p>
    <w:p w:rsidR="00C96C59" w:rsidRDefault="00D7070F" w:rsidP="00C96C59">
      <w:pPr>
        <w:numPr>
          <w:ilvl w:val="0"/>
          <w:numId w:val="27"/>
        </w:numPr>
        <w:spacing w:after="0"/>
        <w:jc w:val="both"/>
        <w:rPr>
          <w:rFonts w:ascii="Calibri" w:eastAsia="Calibri" w:hAnsi="Calibri" w:cs="Times New Roman"/>
        </w:rPr>
      </w:pPr>
      <w:r>
        <w:t>Gasto</w:t>
      </w:r>
      <w:r w:rsidR="00C96C59">
        <w:rPr>
          <w:rFonts w:ascii="Calibri" w:eastAsia="Calibri" w:hAnsi="Calibri" w:cs="Times New Roman"/>
        </w:rPr>
        <w:t xml:space="preserve"> en becas realizada en la formación de RRHH </w:t>
      </w:r>
    </w:p>
    <w:p w:rsidR="00C96C59" w:rsidRDefault="00D7070F" w:rsidP="00C96C59">
      <w:pPr>
        <w:numPr>
          <w:ilvl w:val="0"/>
          <w:numId w:val="27"/>
        </w:numPr>
        <w:spacing w:after="0"/>
        <w:jc w:val="both"/>
        <w:rPr>
          <w:rFonts w:ascii="Calibri" w:eastAsia="Calibri" w:hAnsi="Calibri" w:cs="Times New Roman"/>
        </w:rPr>
      </w:pPr>
      <w:r>
        <w:t>Gasto</w:t>
      </w:r>
      <w:r w:rsidR="00C96C59">
        <w:rPr>
          <w:rFonts w:ascii="Calibri" w:eastAsia="Calibri" w:hAnsi="Calibri" w:cs="Times New Roman"/>
        </w:rPr>
        <w:t xml:space="preserve"> en formación de RRHH excluyendo becas</w:t>
      </w:r>
      <w:r w:rsidR="00C96C59">
        <w:t>.</w:t>
      </w:r>
    </w:p>
    <w:p w:rsidR="005F4AFA" w:rsidRDefault="005F4AFA" w:rsidP="005F4AFA">
      <w:pPr>
        <w:spacing w:after="0"/>
        <w:jc w:val="both"/>
      </w:pPr>
    </w:p>
    <w:p w:rsidR="005F4AFA" w:rsidRPr="005F4AFA" w:rsidRDefault="005F4AFA" w:rsidP="005F4AFA">
      <w:pPr>
        <w:spacing w:after="0"/>
        <w:jc w:val="both"/>
      </w:pPr>
      <w:r>
        <w:t>NOTAS de la COMISIÓN</w:t>
      </w:r>
    </w:p>
    <w:p w:rsidR="005F4AFA" w:rsidRPr="005F4AFA" w:rsidRDefault="005F4AFA" w:rsidP="008C5F5A">
      <w:pPr>
        <w:spacing w:after="0"/>
        <w:rPr>
          <w:rFonts w:ascii="Calibri" w:eastAsia="Calibri" w:hAnsi="Calibri" w:cs="Arial"/>
          <w:iCs/>
          <w:color w:val="000000"/>
          <w:shd w:val="clear" w:color="auto" w:fill="FFFFFF"/>
        </w:rPr>
      </w:pPr>
      <w:r w:rsidRPr="005F4AFA">
        <w:rPr>
          <w:rFonts w:ascii="Calibri" w:eastAsia="Calibri" w:hAnsi="Calibri" w:cs="Arial"/>
          <w:iCs/>
          <w:color w:val="000000"/>
          <w:shd w:val="clear" w:color="auto" w:fill="FFFFFF"/>
        </w:rPr>
        <w:lastRenderedPageBreak/>
        <w:t>Registro de transferencias de proyectos PDTS</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 xml:space="preserve">avanzar en el financiamiento por parte del </w:t>
      </w:r>
      <w:r w:rsidR="008C5F5A" w:rsidRPr="005F4AFA">
        <w:t>MINCYT</w:t>
      </w:r>
      <w:r w:rsidRPr="005F4AFA">
        <w:rPr>
          <w:rFonts w:ascii="Calibri" w:eastAsia="Calibri" w:hAnsi="Calibri" w:cs="Times New Roman"/>
        </w:rPr>
        <w:t xml:space="preserve"> a través de agencia. </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Incluir los desarrollos sociales</w:t>
      </w:r>
    </w:p>
    <w:p w:rsidR="005F4AFA" w:rsidRPr="005F4AFA" w:rsidRDefault="008C5F5A" w:rsidP="008C5F5A">
      <w:pPr>
        <w:numPr>
          <w:ilvl w:val="0"/>
          <w:numId w:val="29"/>
        </w:numPr>
        <w:spacing w:after="0"/>
        <w:rPr>
          <w:rFonts w:ascii="Calibri" w:eastAsia="Calibri" w:hAnsi="Calibri" w:cs="Times New Roman"/>
        </w:rPr>
      </w:pPr>
      <w:r>
        <w:t>V</w:t>
      </w:r>
      <w:r w:rsidR="005F4AFA" w:rsidRPr="005F4AFA">
        <w:rPr>
          <w:rFonts w:ascii="Calibri" w:eastAsia="Calibri" w:hAnsi="Calibri" w:cs="Times New Roman"/>
        </w:rPr>
        <w:t>alida</w:t>
      </w:r>
      <w:r>
        <w:t>ción</w:t>
      </w:r>
      <w:r w:rsidR="005F4AFA" w:rsidRPr="005F4AFA">
        <w:rPr>
          <w:rFonts w:ascii="Calibri" w:eastAsia="Calibri" w:hAnsi="Calibri" w:cs="Times New Roman"/>
        </w:rPr>
        <w:t xml:space="preserve"> </w:t>
      </w:r>
      <w:r>
        <w:t>d</w:t>
      </w:r>
      <w:r w:rsidR="005F4AFA" w:rsidRPr="005F4AFA">
        <w:rPr>
          <w:rFonts w:ascii="Calibri" w:eastAsia="Calibri" w:hAnsi="Calibri" w:cs="Times New Roman"/>
        </w:rPr>
        <w:t>el resultado de los PDTS</w:t>
      </w:r>
    </w:p>
    <w:p w:rsidR="005F4AFA" w:rsidRPr="005F4AFA" w:rsidRDefault="008C5F5A" w:rsidP="008C5F5A">
      <w:pPr>
        <w:numPr>
          <w:ilvl w:val="0"/>
          <w:numId w:val="29"/>
        </w:numPr>
        <w:spacing w:after="0"/>
        <w:rPr>
          <w:rFonts w:ascii="Calibri" w:eastAsia="Calibri" w:hAnsi="Calibri" w:cs="Times New Roman"/>
        </w:rPr>
      </w:pPr>
      <w:r>
        <w:t>Registro</w:t>
      </w:r>
      <w:r w:rsidR="005F4AFA" w:rsidRPr="005F4AFA">
        <w:rPr>
          <w:rFonts w:ascii="Calibri" w:eastAsia="Calibri" w:hAnsi="Calibri" w:cs="Times New Roman"/>
        </w:rPr>
        <w:t xml:space="preserve"> </w:t>
      </w:r>
      <w:r>
        <w:t xml:space="preserve">de </w:t>
      </w:r>
      <w:r w:rsidR="005F4AFA" w:rsidRPr="005F4AFA">
        <w:rPr>
          <w:rFonts w:ascii="Calibri" w:eastAsia="Calibri" w:hAnsi="Calibri" w:cs="Times New Roman"/>
        </w:rPr>
        <w:t>lo que excede a</w:t>
      </w:r>
      <w:r>
        <w:t>l</w:t>
      </w:r>
      <w:r w:rsidR="005F4AFA" w:rsidRPr="005F4AFA">
        <w:rPr>
          <w:rFonts w:ascii="Calibri" w:eastAsia="Calibri" w:hAnsi="Calibri" w:cs="Times New Roman"/>
        </w:rPr>
        <w:t xml:space="preserve"> sistema sobre todo cuestiones transferibles.</w:t>
      </w:r>
    </w:p>
    <w:p w:rsidR="005F4AFA" w:rsidRPr="005F4AFA" w:rsidRDefault="008C5F5A" w:rsidP="008C5F5A">
      <w:pPr>
        <w:numPr>
          <w:ilvl w:val="0"/>
          <w:numId w:val="29"/>
        </w:numPr>
        <w:spacing w:after="0"/>
        <w:rPr>
          <w:rFonts w:ascii="Calibri" w:eastAsia="Calibri" w:hAnsi="Calibri" w:cs="Times New Roman"/>
        </w:rPr>
      </w:pPr>
      <w:r>
        <w:t>Relevamiento de la diversidad</w:t>
      </w:r>
      <w:r w:rsidR="005F4AFA" w:rsidRPr="005F4AFA">
        <w:rPr>
          <w:rFonts w:ascii="Calibri" w:eastAsia="Calibri" w:hAnsi="Calibri" w:cs="Times New Roman"/>
        </w:rPr>
        <w:t xml:space="preserve"> </w:t>
      </w:r>
      <w:r>
        <w:t xml:space="preserve">de </w:t>
      </w:r>
      <w:r w:rsidR="005F4AFA" w:rsidRPr="005F4AFA">
        <w:rPr>
          <w:rFonts w:ascii="Calibri" w:eastAsia="Calibri" w:hAnsi="Calibri" w:cs="Times New Roman"/>
        </w:rPr>
        <w:t xml:space="preserve">estas actividades en las </w:t>
      </w:r>
      <w:r>
        <w:t>IES públicas</w:t>
      </w:r>
      <w:r w:rsidR="005F4AFA" w:rsidRPr="005F4AFA">
        <w:rPr>
          <w:rFonts w:ascii="Calibri" w:eastAsia="Calibri" w:hAnsi="Calibri" w:cs="Times New Roman"/>
        </w:rPr>
        <w:t>.</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Verificar la satisfacción del adoptante.</w:t>
      </w:r>
    </w:p>
    <w:p w:rsidR="005F4AFA" w:rsidRPr="005F4AFA" w:rsidRDefault="008C5F5A" w:rsidP="008C5F5A">
      <w:pPr>
        <w:numPr>
          <w:ilvl w:val="0"/>
          <w:numId w:val="29"/>
        </w:numPr>
        <w:spacing w:after="0"/>
        <w:rPr>
          <w:rFonts w:ascii="Calibri" w:eastAsia="Calibri" w:hAnsi="Calibri" w:cs="Times New Roman"/>
        </w:rPr>
      </w:pPr>
      <w:r>
        <w:t>Operatividad</w:t>
      </w:r>
      <w:r w:rsidR="005F4AFA" w:rsidRPr="005F4AFA">
        <w:rPr>
          <w:rFonts w:ascii="Calibri" w:eastAsia="Calibri" w:hAnsi="Calibri" w:cs="Times New Roman"/>
        </w:rPr>
        <w:t xml:space="preserve"> de variables de impacto al adoptante.</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Mapa argentino de transferencias</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Generar mecanismos de registro y evaluación.</w:t>
      </w:r>
    </w:p>
    <w:p w:rsidR="005F4AFA" w:rsidRPr="005F4AFA" w:rsidRDefault="005F4AFA" w:rsidP="008C5F5A">
      <w:pPr>
        <w:numPr>
          <w:ilvl w:val="0"/>
          <w:numId w:val="29"/>
        </w:numPr>
        <w:spacing w:after="0"/>
        <w:rPr>
          <w:rFonts w:ascii="Calibri" w:eastAsia="Calibri" w:hAnsi="Calibri" w:cs="Times New Roman"/>
        </w:rPr>
      </w:pPr>
      <w:r w:rsidRPr="005F4AFA">
        <w:rPr>
          <w:rFonts w:ascii="Calibri" w:eastAsia="Calibri" w:hAnsi="Calibri" w:cs="Times New Roman"/>
        </w:rPr>
        <w:t>Construir institucionalidad con herramienta</w:t>
      </w:r>
      <w:r w:rsidR="008C5F5A">
        <w:t>s</w:t>
      </w:r>
      <w:r w:rsidRPr="005F4AFA">
        <w:rPr>
          <w:rFonts w:ascii="Calibri" w:eastAsia="Calibri" w:hAnsi="Calibri" w:cs="Times New Roman"/>
        </w:rPr>
        <w:t xml:space="preserve"> concretas p</w:t>
      </w:r>
      <w:r w:rsidR="008C5F5A">
        <w:t>ara catalogar PDTS en las IES públicas.</w:t>
      </w:r>
    </w:p>
    <w:p w:rsidR="005F4AFA" w:rsidRPr="00292F75" w:rsidRDefault="005F4AFA" w:rsidP="005F4AFA">
      <w:pPr>
        <w:spacing w:after="0"/>
        <w:jc w:val="both"/>
      </w:pPr>
    </w:p>
    <w:p w:rsidR="008C5F5A" w:rsidRDefault="008C5F5A" w:rsidP="008C5F5A">
      <w:pPr>
        <w:pStyle w:val="Prrafodelista"/>
        <w:numPr>
          <w:ilvl w:val="0"/>
          <w:numId w:val="2"/>
        </w:numPr>
        <w:spacing w:after="0"/>
        <w:ind w:left="284"/>
        <w:jc w:val="both"/>
      </w:pPr>
      <w:r w:rsidRPr="00F20E3A">
        <w:rPr>
          <w:u w:val="single"/>
        </w:rPr>
        <w:t>COMISIÓN</w:t>
      </w:r>
      <w:r>
        <w:rPr>
          <w:u w:val="single"/>
        </w:rPr>
        <w:t xml:space="preserve"> 5</w:t>
      </w:r>
      <w:r>
        <w:t xml:space="preserve">. IMPLEMENTACIÓN y SISTEMAS. Definiciones, recomendaciones y temas a definir. </w:t>
      </w:r>
    </w:p>
    <w:p w:rsidR="008C5F5A" w:rsidRDefault="008C5F5A" w:rsidP="008C5F5A">
      <w:r>
        <w:t>La comisión recomienda:</w:t>
      </w:r>
    </w:p>
    <w:p w:rsidR="008C5F5A" w:rsidRDefault="008C5F5A" w:rsidP="008C5F5A">
      <w:pPr>
        <w:pStyle w:val="Prrafodelista"/>
        <w:numPr>
          <w:ilvl w:val="0"/>
          <w:numId w:val="33"/>
        </w:numPr>
      </w:pPr>
      <w:r>
        <w:t>un conjunto de Buenas Prácticas para la implementación de los servicios de manejo de  datos requeridos para la gestión de indicadores del área, a saber:</w:t>
      </w:r>
    </w:p>
    <w:p w:rsidR="008C5F5A" w:rsidRDefault="008C5F5A" w:rsidP="008C5F5A">
      <w:pPr>
        <w:pStyle w:val="Prrafodelista"/>
        <w:numPr>
          <w:ilvl w:val="0"/>
          <w:numId w:val="35"/>
        </w:numPr>
        <w:ind w:hanging="229"/>
      </w:pPr>
      <w:r>
        <w:t>Instalación y uso del SIGEVA. Se reconoce que de las actuales 54 IES públicas ya existen 46 convenios firmados y 35 implementaciones exitosas de SIGEVA. Con varias convocatorias anuales más el uso del módulo de MEMORIA se asegura la actualización de los datos curriculares, de producción y de financiamiento. Se recomienda la actualización permanente del CVar.</w:t>
      </w:r>
    </w:p>
    <w:p w:rsidR="008C5F5A" w:rsidRDefault="008C5F5A" w:rsidP="008C5F5A">
      <w:pPr>
        <w:pStyle w:val="Prrafodelista"/>
        <w:numPr>
          <w:ilvl w:val="0"/>
          <w:numId w:val="35"/>
        </w:numPr>
        <w:ind w:hanging="229"/>
      </w:pPr>
      <w:r>
        <w:t xml:space="preserve">Responsables de manejo de datos en las </w:t>
      </w:r>
      <w:proofErr w:type="spellStart"/>
      <w:r>
        <w:t>IUPs</w:t>
      </w:r>
      <w:proofErr w:type="spellEnd"/>
      <w:r>
        <w:t>. Se recomienda que se constituyan tres funciones (que pueden ejercerse por una, dos o tres personas): responsable técnico (para el contacto técnico “duro”); responsable funcional (para la determinación de la “función” del dato) y un coordinador de responsables.</w:t>
      </w:r>
    </w:p>
    <w:p w:rsidR="008C5F5A" w:rsidRDefault="008C5F5A" w:rsidP="008C5F5A">
      <w:pPr>
        <w:pStyle w:val="Prrafodelista"/>
        <w:numPr>
          <w:ilvl w:val="0"/>
          <w:numId w:val="35"/>
        </w:numPr>
        <w:ind w:hanging="229"/>
      </w:pPr>
      <w:r>
        <w:t>Establecer estándares en el tratamiento de los datos a cargar que abarque al conjunto de las instituciones para contribuir a mejorar la calidad de los datos que se recojan para la construcción de indicadores.</w:t>
      </w:r>
    </w:p>
    <w:p w:rsidR="008C5F5A" w:rsidRDefault="008C5F5A" w:rsidP="008C5F5A">
      <w:pPr>
        <w:pStyle w:val="Prrafodelista"/>
      </w:pPr>
    </w:p>
    <w:p w:rsidR="008C5F5A" w:rsidRDefault="008C5F5A" w:rsidP="008C5F5A">
      <w:pPr>
        <w:pStyle w:val="Prrafodelista"/>
        <w:numPr>
          <w:ilvl w:val="0"/>
          <w:numId w:val="33"/>
        </w:numPr>
      </w:pPr>
      <w:r>
        <w:t>un conjunto de recomendaciones de política universitaria para las casas individuales y para el conjunto.</w:t>
      </w:r>
    </w:p>
    <w:p w:rsidR="008C5F5A" w:rsidRDefault="008C5F5A" w:rsidP="008C5F5A">
      <w:pPr>
        <w:pStyle w:val="Prrafodelista"/>
        <w:numPr>
          <w:ilvl w:val="0"/>
          <w:numId w:val="31"/>
        </w:numPr>
      </w:pPr>
      <w:r>
        <w:t>Se recomienda que una directiva nacional defina políticas de acceso e identifique a un responsable dentro de cada IUP que tenga la capacidad de acceder a los datos relevantes que afecten a la función I+D+i.</w:t>
      </w:r>
    </w:p>
    <w:p w:rsidR="008C5F5A" w:rsidRDefault="008C5F5A" w:rsidP="008C5F5A">
      <w:pPr>
        <w:pStyle w:val="Prrafodelista"/>
        <w:numPr>
          <w:ilvl w:val="0"/>
          <w:numId w:val="31"/>
        </w:numPr>
      </w:pPr>
      <w:r>
        <w:t>Se recomienda establecer una relación institucional a nivel del CIN o nacional que asigne incumbencias, derechos y responsabilidades a los todos los actores involucrados en SIGEVA.</w:t>
      </w:r>
    </w:p>
    <w:p w:rsidR="008C5F5A" w:rsidRDefault="008C5F5A" w:rsidP="008C5F5A">
      <w:r>
        <w:t>Recomendaciones técnicas a nivel del CIN:</w:t>
      </w:r>
    </w:p>
    <w:p w:rsidR="008C5F5A" w:rsidRDefault="008C5F5A" w:rsidP="008C5F5A">
      <w:pPr>
        <w:pStyle w:val="Prrafodelista"/>
        <w:numPr>
          <w:ilvl w:val="0"/>
          <w:numId w:val="32"/>
        </w:numPr>
      </w:pPr>
      <w:r>
        <w:lastRenderedPageBreak/>
        <w:t>Se recomienda implementar el sistema SIGEVA en la nube. Esta implementación elimina la dependencia de los responsables de las áreas de I+D+i  de cada IUP, de las áreas de sistemas y la carga de hardware y servicio que se impondría sobre ellas.</w:t>
      </w:r>
    </w:p>
    <w:p w:rsidR="008C5F5A" w:rsidRDefault="008C5F5A" w:rsidP="008C5F5A">
      <w:pPr>
        <w:pStyle w:val="Prrafodelista"/>
        <w:numPr>
          <w:ilvl w:val="0"/>
          <w:numId w:val="32"/>
        </w:numPr>
      </w:pPr>
      <w:r>
        <w:t>Se recomienda desarrollar la interoperabilidad entre el sistema SIGEVA y los sistemas del SIU Esto evita duplicación de carga de datos y asegura mayor confiabilidad y disponibilidad de los mismos.</w:t>
      </w:r>
    </w:p>
    <w:p w:rsidR="008C5F5A" w:rsidRDefault="008C5F5A" w:rsidP="008C5F5A">
      <w:pPr>
        <w:pStyle w:val="Prrafodelista"/>
        <w:numPr>
          <w:ilvl w:val="0"/>
          <w:numId w:val="32"/>
        </w:numPr>
      </w:pPr>
      <w:r>
        <w:t xml:space="preserve">Se recomienda se gestione un grupo de trabajo que se ocupe del desarrollo de cubos como método de recopilar la información siguiendo los actuales desarrollados con PENTAHO. </w:t>
      </w:r>
    </w:p>
    <w:p w:rsidR="008C5F5A" w:rsidRDefault="008C5F5A" w:rsidP="008C5F5A">
      <w:pPr>
        <w:pStyle w:val="Prrafodelista"/>
        <w:numPr>
          <w:ilvl w:val="0"/>
          <w:numId w:val="32"/>
        </w:numPr>
      </w:pPr>
      <w:r>
        <w:t>Se recomienda la construcción de cubos que permitan el cruce de datos de sistemas SIU con datos del SIGEVA. Para ello gestionar el armado de un equipo de trabajo que involucre ambas áreas.</w:t>
      </w:r>
    </w:p>
    <w:p w:rsidR="008C5F5A" w:rsidRDefault="008C5F5A" w:rsidP="008C5F5A">
      <w:pPr>
        <w:pStyle w:val="Prrafodelista"/>
        <w:ind w:left="360"/>
      </w:pPr>
    </w:p>
    <w:p w:rsidR="008C5F5A" w:rsidRDefault="008C5F5A" w:rsidP="004A080E">
      <w:pPr>
        <w:spacing w:after="0"/>
        <w:jc w:val="both"/>
      </w:pPr>
    </w:p>
    <w:p w:rsidR="0071440F" w:rsidRPr="007600D8" w:rsidRDefault="0071440F" w:rsidP="00C96C59">
      <w:pPr>
        <w:ind w:left="1080"/>
      </w:pPr>
    </w:p>
    <w:sectPr w:rsidR="0071440F" w:rsidRPr="007600D8" w:rsidSect="00B30F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5CA" w:rsidRDefault="00E235CA" w:rsidP="00DE41B9">
      <w:pPr>
        <w:spacing w:after="0" w:line="240" w:lineRule="auto"/>
      </w:pPr>
      <w:r>
        <w:separator/>
      </w:r>
    </w:p>
  </w:endnote>
  <w:endnote w:type="continuationSeparator" w:id="0">
    <w:p w:rsidR="00E235CA" w:rsidRDefault="00E235CA" w:rsidP="00DE4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F" w:rsidRDefault="009110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F" w:rsidRDefault="009110A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F" w:rsidRDefault="009110A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5CA" w:rsidRDefault="00E235CA" w:rsidP="00DE41B9">
      <w:pPr>
        <w:spacing w:after="0" w:line="240" w:lineRule="auto"/>
      </w:pPr>
      <w:r>
        <w:separator/>
      </w:r>
    </w:p>
  </w:footnote>
  <w:footnote w:type="continuationSeparator" w:id="0">
    <w:p w:rsidR="00E235CA" w:rsidRDefault="00E235CA" w:rsidP="00DE41B9">
      <w:pPr>
        <w:spacing w:after="0" w:line="240" w:lineRule="auto"/>
      </w:pPr>
      <w:r>
        <w:continuationSeparator/>
      </w:r>
    </w:p>
  </w:footnote>
  <w:footnote w:id="1">
    <w:p w:rsidR="007614F7" w:rsidRPr="00B75399" w:rsidRDefault="007614F7" w:rsidP="00B97CEB">
      <w:pPr>
        <w:pStyle w:val="Textonotapie"/>
        <w:rPr>
          <w:rFonts w:ascii="Cambria" w:hAnsi="Cambria"/>
          <w:sz w:val="16"/>
          <w:szCs w:val="16"/>
        </w:rPr>
      </w:pPr>
      <w:r w:rsidRPr="00B75399">
        <w:rPr>
          <w:rStyle w:val="Refdenotaalpie"/>
          <w:rFonts w:ascii="Cambria" w:hAnsi="Cambria"/>
          <w:sz w:val="16"/>
          <w:szCs w:val="16"/>
        </w:rPr>
        <w:footnoteRef/>
      </w:r>
      <w:r w:rsidRPr="00B75399">
        <w:rPr>
          <w:rFonts w:ascii="Cambria" w:hAnsi="Cambria"/>
          <w:sz w:val="16"/>
          <w:szCs w:val="16"/>
        </w:rPr>
        <w:t xml:space="preserve"> Se sugiere pensar un porcentaje para aquellas obras cuya función no es exclusivamente la I+D+i (ej. aquellos espacios que combinan investigación y docencia).</w:t>
      </w:r>
    </w:p>
  </w:footnote>
  <w:footnote w:id="2">
    <w:p w:rsidR="007614F7" w:rsidRPr="00B75399" w:rsidRDefault="007614F7" w:rsidP="00B97CEB">
      <w:pPr>
        <w:pStyle w:val="Textonotapie"/>
        <w:rPr>
          <w:rFonts w:ascii="Cambria" w:hAnsi="Cambria"/>
          <w:sz w:val="16"/>
          <w:szCs w:val="16"/>
        </w:rPr>
      </w:pPr>
      <w:r w:rsidRPr="00B75399">
        <w:rPr>
          <w:rStyle w:val="Refdenotaalpie"/>
          <w:rFonts w:ascii="Cambria" w:hAnsi="Cambria"/>
          <w:sz w:val="16"/>
          <w:szCs w:val="16"/>
        </w:rPr>
        <w:footnoteRef/>
      </w:r>
      <w:r w:rsidRPr="00B75399">
        <w:rPr>
          <w:rFonts w:ascii="Cambria" w:hAnsi="Cambria"/>
          <w:sz w:val="16"/>
          <w:szCs w:val="16"/>
        </w:rPr>
        <w:t xml:space="preserve"> Pensar en incorporar la inversión que realiza el </w:t>
      </w:r>
      <w:proofErr w:type="spellStart"/>
      <w:r w:rsidRPr="00B75399">
        <w:rPr>
          <w:rFonts w:ascii="Cambria" w:hAnsi="Cambria"/>
          <w:sz w:val="16"/>
          <w:szCs w:val="16"/>
        </w:rPr>
        <w:t>MinCyT</w:t>
      </w:r>
      <w:proofErr w:type="spellEnd"/>
    </w:p>
  </w:footnote>
  <w:footnote w:id="3">
    <w:p w:rsidR="007614F7" w:rsidRPr="00B75399" w:rsidRDefault="007614F7" w:rsidP="00B97CEB">
      <w:pPr>
        <w:pStyle w:val="Textonotapie"/>
        <w:rPr>
          <w:rFonts w:ascii="Cambria" w:hAnsi="Cambria"/>
          <w:sz w:val="16"/>
          <w:szCs w:val="16"/>
        </w:rPr>
      </w:pPr>
      <w:r w:rsidRPr="00B75399">
        <w:rPr>
          <w:rStyle w:val="Refdenotaalpie"/>
          <w:rFonts w:ascii="Cambria" w:hAnsi="Cambria"/>
          <w:sz w:val="16"/>
          <w:szCs w:val="16"/>
        </w:rPr>
        <w:footnoteRef/>
      </w:r>
      <w:r w:rsidRPr="00B75399">
        <w:rPr>
          <w:rFonts w:ascii="Cambria" w:hAnsi="Cambria"/>
          <w:sz w:val="16"/>
          <w:szCs w:val="16"/>
        </w:rPr>
        <w:t xml:space="preserve"> En caso de corresponder según cada </w:t>
      </w:r>
      <w:r w:rsidR="006A25B5">
        <w:rPr>
          <w:rFonts w:ascii="Cambria" w:hAnsi="Cambria"/>
          <w:sz w:val="16"/>
          <w:szCs w:val="16"/>
        </w:rPr>
        <w:t>IES pública</w:t>
      </w:r>
      <w:r w:rsidRPr="00B75399">
        <w:rPr>
          <w:rFonts w:ascii="Cambria" w:hAnsi="Cambria"/>
          <w:sz w:val="16"/>
          <w:szCs w:val="16"/>
        </w:rPr>
        <w:t>.</w:t>
      </w:r>
    </w:p>
  </w:footnote>
  <w:footnote w:id="4">
    <w:p w:rsidR="007614F7" w:rsidRPr="00B75399" w:rsidRDefault="007614F7" w:rsidP="007600D8">
      <w:pPr>
        <w:pStyle w:val="Textonotapie"/>
        <w:rPr>
          <w:rFonts w:ascii="Cambria" w:hAnsi="Cambria"/>
          <w:sz w:val="16"/>
          <w:szCs w:val="16"/>
        </w:rPr>
      </w:pPr>
      <w:r w:rsidRPr="00B75399">
        <w:rPr>
          <w:rStyle w:val="Refdenotaalpie"/>
          <w:rFonts w:ascii="Cambria" w:hAnsi="Cambria"/>
          <w:sz w:val="16"/>
          <w:szCs w:val="16"/>
        </w:rPr>
        <w:footnoteRef/>
      </w:r>
      <w:r w:rsidRPr="00B75399">
        <w:rPr>
          <w:rFonts w:ascii="Cambria" w:hAnsi="Cambria"/>
          <w:sz w:val="16"/>
          <w:szCs w:val="16"/>
        </w:rPr>
        <w:t xml:space="preserve"> Incorporar el valor del terreno que la </w:t>
      </w:r>
      <w:r w:rsidR="006A25B5">
        <w:rPr>
          <w:rFonts w:ascii="Cambria" w:hAnsi="Cambria"/>
          <w:sz w:val="16"/>
          <w:szCs w:val="16"/>
        </w:rPr>
        <w:t>IES</w:t>
      </w:r>
      <w:r w:rsidRPr="00B75399">
        <w:rPr>
          <w:rFonts w:ascii="Cambria" w:hAnsi="Cambria"/>
          <w:sz w:val="16"/>
          <w:szCs w:val="16"/>
        </w:rPr>
        <w:t xml:space="preserve"> brinda para la construcción de la nueva obra, en caso de corresponder.</w:t>
      </w:r>
    </w:p>
  </w:footnote>
  <w:footnote w:id="5">
    <w:p w:rsidR="007614F7" w:rsidRPr="00B75399" w:rsidRDefault="007614F7" w:rsidP="007600D8">
      <w:pPr>
        <w:pStyle w:val="Textonotapie"/>
        <w:rPr>
          <w:rFonts w:ascii="Cambria" w:hAnsi="Cambria"/>
          <w:sz w:val="16"/>
          <w:szCs w:val="16"/>
        </w:rPr>
      </w:pPr>
      <w:r w:rsidRPr="00B75399">
        <w:rPr>
          <w:rStyle w:val="Refdenotaalpie"/>
          <w:rFonts w:ascii="Cambria" w:hAnsi="Cambria"/>
          <w:sz w:val="16"/>
          <w:szCs w:val="16"/>
        </w:rPr>
        <w:footnoteRef/>
      </w:r>
      <w:r w:rsidRPr="00B75399">
        <w:rPr>
          <w:rFonts w:ascii="Cambria" w:hAnsi="Cambria"/>
          <w:sz w:val="16"/>
          <w:szCs w:val="16"/>
        </w:rPr>
        <w:t xml:space="preserve"> Ver solapamiento con RRHH.</w:t>
      </w:r>
    </w:p>
  </w:footnote>
  <w:footnote w:id="6">
    <w:p w:rsidR="007614F7" w:rsidRPr="008F419F" w:rsidRDefault="007614F7" w:rsidP="007600D8">
      <w:pPr>
        <w:pStyle w:val="Textonotapie"/>
        <w:rPr>
          <w:rFonts w:ascii="Cambria" w:hAnsi="Cambria"/>
          <w:sz w:val="22"/>
          <w:szCs w:val="22"/>
        </w:rPr>
      </w:pPr>
      <w:r w:rsidRPr="00B75399">
        <w:rPr>
          <w:rStyle w:val="Refdenotaalpie"/>
          <w:rFonts w:ascii="Cambria" w:hAnsi="Cambria"/>
          <w:sz w:val="16"/>
          <w:szCs w:val="16"/>
        </w:rPr>
        <w:footnoteRef/>
      </w:r>
      <w:r w:rsidRPr="00B75399">
        <w:rPr>
          <w:rFonts w:ascii="Cambria" w:hAnsi="Cambria"/>
          <w:sz w:val="16"/>
          <w:szCs w:val="16"/>
        </w:rPr>
        <w:t xml:space="preserve"> El equipamiento </w:t>
      </w:r>
      <w:r w:rsidR="006A25B5">
        <w:rPr>
          <w:rFonts w:ascii="Cambria" w:hAnsi="Cambria"/>
          <w:sz w:val="16"/>
          <w:szCs w:val="16"/>
        </w:rPr>
        <w:t xml:space="preserve">menor es difícil de relevar y </w:t>
      </w:r>
      <w:r w:rsidRPr="00B75399">
        <w:rPr>
          <w:rFonts w:ascii="Cambria" w:hAnsi="Cambria"/>
          <w:sz w:val="16"/>
          <w:szCs w:val="16"/>
        </w:rPr>
        <w:t>puede haber un solapamiento con los proyectos de investigación.</w:t>
      </w:r>
    </w:p>
  </w:footnote>
  <w:footnote w:id="7">
    <w:p w:rsidR="007614F7" w:rsidRPr="00292F75" w:rsidRDefault="007614F7" w:rsidP="00292F75">
      <w:pPr>
        <w:spacing w:after="0"/>
        <w:jc w:val="both"/>
        <w:rPr>
          <w:sz w:val="18"/>
          <w:szCs w:val="18"/>
        </w:rPr>
      </w:pPr>
      <w:r>
        <w:rPr>
          <w:rStyle w:val="Refdenotaalpie"/>
        </w:rPr>
        <w:footnoteRef/>
      </w:r>
      <w:r>
        <w:t xml:space="preserve"> </w:t>
      </w:r>
      <w:r w:rsidRPr="00292F75">
        <w:rPr>
          <w:sz w:val="18"/>
          <w:szCs w:val="18"/>
        </w:rPr>
        <w:t>Cuando un proyecto se ejecuta en más de una unidad ejecutora se debe contarlo una única vez en el total general y cuando el análisis es por UE se debe contarlo en cada una.</w:t>
      </w:r>
    </w:p>
    <w:p w:rsidR="007614F7" w:rsidRPr="00292F75" w:rsidRDefault="007614F7" w:rsidP="00292F75">
      <w:pPr>
        <w:pStyle w:val="Textonotapie"/>
        <w:spacing w:line="276" w:lineRule="auto"/>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F" w:rsidRDefault="009110A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67" o:spid="_x0000_s3078" type="#_x0000_t136" style="position:absolute;margin-left:0;margin-top:0;width:479.85pt;height:179.95pt;rotation:315;z-index:-251654144;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F7" w:rsidRDefault="009110AF">
    <w:pPr>
      <w:pStyle w:val="Encabezad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68" o:spid="_x0000_s3079" type="#_x0000_t136" style="position:absolute;left:0;text-align:left;margin-left:0;margin-top:0;width:479.85pt;height:179.95pt;rotation:315;z-index:-251652096;mso-position-horizontal:center;mso-position-horizontal-relative:margin;mso-position-vertical:center;mso-position-vertical-relative:margin" o:allowincell="f" fillcolor="silver" stroked="f">
          <v:fill opacity=".5"/>
          <v:textpath style="font-family:&quot;Calibri&quot;;font-size:1pt" string="BORRADOR"/>
        </v:shape>
      </w:pict>
    </w:r>
    <w:sdt>
      <w:sdtPr>
        <w:id w:val="342953243"/>
        <w:docPartObj>
          <w:docPartGallery w:val="Page Numbers (Top of Page)"/>
          <w:docPartUnique/>
        </w:docPartObj>
      </w:sdtPr>
      <w:sdtContent>
        <w:fldSimple w:instr=" PAGE   \* MERGEFORMAT ">
          <w:r>
            <w:rPr>
              <w:noProof/>
            </w:rPr>
            <w:t>11</w:t>
          </w:r>
        </w:fldSimple>
        <w:r w:rsidR="007614F7">
          <w:t>/</w:t>
        </w:r>
        <w:r>
          <w:t>11</w:t>
        </w:r>
      </w:sdtContent>
    </w:sdt>
  </w:p>
  <w:p w:rsidR="007614F7" w:rsidRDefault="007614F7">
    <w:pPr>
      <w:pStyle w:val="Encabezado"/>
    </w:pPr>
  </w:p>
  <w:p w:rsidR="004A080E" w:rsidRDefault="004A080E">
    <w:pPr>
      <w:pStyle w:val="Encabezado"/>
    </w:pPr>
  </w:p>
  <w:p w:rsidR="004A080E" w:rsidRDefault="004A080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0AF" w:rsidRDefault="009110A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66" o:spid="_x0000_s3077" type="#_x0000_t136" style="position:absolute;margin-left:0;margin-top:0;width:479.85pt;height:179.95pt;rotation:315;z-index:-251656192;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454"/>
    <w:multiLevelType w:val="hybridMultilevel"/>
    <w:tmpl w:val="11600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84F99"/>
    <w:multiLevelType w:val="hybridMultilevel"/>
    <w:tmpl w:val="C734BD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264652"/>
    <w:multiLevelType w:val="hybridMultilevel"/>
    <w:tmpl w:val="D162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209B7"/>
    <w:multiLevelType w:val="hybridMultilevel"/>
    <w:tmpl w:val="D41E40AC"/>
    <w:lvl w:ilvl="0" w:tplc="0409001B">
      <w:start w:val="1"/>
      <w:numFmt w:val="lowerRoman"/>
      <w:lvlText w:val="%1."/>
      <w:lvlJc w:val="right"/>
      <w:pPr>
        <w:ind w:left="2700" w:hanging="360"/>
      </w:pPr>
    </w:lvl>
    <w:lvl w:ilvl="1" w:tplc="0409000D">
      <w:start w:val="1"/>
      <w:numFmt w:val="bullet"/>
      <w:lvlText w:val=""/>
      <w:lvlJc w:val="left"/>
      <w:pPr>
        <w:ind w:left="3420" w:hanging="360"/>
      </w:pPr>
      <w:rPr>
        <w:rFonts w:ascii="Wingdings" w:hAnsi="Wingdings" w:hint="default"/>
      </w:r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0C5C475B"/>
    <w:multiLevelType w:val="hybridMultilevel"/>
    <w:tmpl w:val="3FD08D6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AA5899"/>
    <w:multiLevelType w:val="hybridMultilevel"/>
    <w:tmpl w:val="47E0D1CA"/>
    <w:lvl w:ilvl="0" w:tplc="04090001">
      <w:start w:val="1"/>
      <w:numFmt w:val="bullet"/>
      <w:lvlText w:val=""/>
      <w:lvlJc w:val="left"/>
      <w:pPr>
        <w:ind w:left="3060" w:hanging="360"/>
      </w:pPr>
      <w:rPr>
        <w:rFonts w:ascii="Symbol" w:hAnsi="Symbol"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nsid w:val="0FB95793"/>
    <w:multiLevelType w:val="hybridMultilevel"/>
    <w:tmpl w:val="BCCA02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E6C2D"/>
    <w:multiLevelType w:val="hybridMultilevel"/>
    <w:tmpl w:val="9D52E784"/>
    <w:lvl w:ilvl="0" w:tplc="FF32B188">
      <w:start w:val="3"/>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C03F8"/>
    <w:multiLevelType w:val="hybridMultilevel"/>
    <w:tmpl w:val="FF481B9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A293AF9"/>
    <w:multiLevelType w:val="hybridMultilevel"/>
    <w:tmpl w:val="4A7847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022C0E"/>
    <w:multiLevelType w:val="hybridMultilevel"/>
    <w:tmpl w:val="152A369C"/>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C84DDE"/>
    <w:multiLevelType w:val="multilevel"/>
    <w:tmpl w:val="CB5038AA"/>
    <w:styleLink w:val="Estilo19"/>
    <w:lvl w:ilvl="0">
      <w:start w:val="1"/>
      <w:numFmt w:val="none"/>
      <w:lvlText w:val="4"/>
      <w:lvlJc w:val="left"/>
      <w:pPr>
        <w:ind w:left="435" w:hanging="435"/>
      </w:pPr>
      <w:rPr>
        <w:rFonts w:hint="default"/>
      </w:rPr>
    </w:lvl>
    <w:lvl w:ilvl="1">
      <w:start w:val="4"/>
      <w:numFmt w:val="decimal"/>
      <w:lvlText w:val="%2%1.1"/>
      <w:lvlJc w:val="left"/>
      <w:pPr>
        <w:ind w:left="435" w:hanging="435"/>
      </w:pPr>
      <w:rPr>
        <w:rFonts w:hint="default"/>
      </w:rPr>
    </w:lvl>
    <w:lvl w:ilvl="2">
      <w:start w:val="1"/>
      <w:numFmt w:val="decimal"/>
      <w:lvlText w:val="%14.1.%3"/>
      <w:lvlJc w:val="left"/>
      <w:pPr>
        <w:ind w:left="720" w:hanging="720"/>
      </w:pPr>
      <w:rPr>
        <w:rFonts w:hint="default"/>
      </w:rPr>
    </w:lvl>
    <w:lvl w:ilvl="3">
      <w:start w:val="1"/>
      <w:numFmt w:val="decimal"/>
      <w:lvlText w:val="4.1.1.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960725D"/>
    <w:multiLevelType w:val="hybridMultilevel"/>
    <w:tmpl w:val="C54C6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4B6046"/>
    <w:multiLevelType w:val="hybridMultilevel"/>
    <w:tmpl w:val="6A26A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E26AE2"/>
    <w:multiLevelType w:val="hybridMultilevel"/>
    <w:tmpl w:val="61B4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82EEF"/>
    <w:multiLevelType w:val="hybridMultilevel"/>
    <w:tmpl w:val="CC9C2926"/>
    <w:lvl w:ilvl="0" w:tplc="C66CB0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BC070C"/>
    <w:multiLevelType w:val="hybridMultilevel"/>
    <w:tmpl w:val="F1C6018A"/>
    <w:lvl w:ilvl="0" w:tplc="0409000D">
      <w:start w:val="1"/>
      <w:numFmt w:val="bullet"/>
      <w:lvlText w:val=""/>
      <w:lvlJc w:val="left"/>
      <w:pPr>
        <w:ind w:left="2700" w:hanging="360"/>
      </w:pPr>
      <w:rPr>
        <w:rFonts w:ascii="Wingdings" w:hAnsi="Wingding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38914B79"/>
    <w:multiLevelType w:val="hybridMultilevel"/>
    <w:tmpl w:val="2D9882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12A73"/>
    <w:multiLevelType w:val="hybridMultilevel"/>
    <w:tmpl w:val="8BE452A6"/>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EBD0EFA"/>
    <w:multiLevelType w:val="hybridMultilevel"/>
    <w:tmpl w:val="B856308C"/>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48716A9F"/>
    <w:multiLevelType w:val="hybridMultilevel"/>
    <w:tmpl w:val="1BBE90FC"/>
    <w:lvl w:ilvl="0" w:tplc="B43CD2E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6E5765"/>
    <w:multiLevelType w:val="hybridMultilevel"/>
    <w:tmpl w:val="6B26139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CA707D"/>
    <w:multiLevelType w:val="hybridMultilevel"/>
    <w:tmpl w:val="7DE2E3C2"/>
    <w:lvl w:ilvl="0" w:tplc="FA3C99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2C7801"/>
    <w:multiLevelType w:val="hybridMultilevel"/>
    <w:tmpl w:val="0346CF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04AA3"/>
    <w:multiLevelType w:val="hybridMultilevel"/>
    <w:tmpl w:val="1B9237D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03250A2"/>
    <w:multiLevelType w:val="hybridMultilevel"/>
    <w:tmpl w:val="269A32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1A0084"/>
    <w:multiLevelType w:val="hybridMultilevel"/>
    <w:tmpl w:val="09348448"/>
    <w:lvl w:ilvl="0" w:tplc="C66CB0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EA23BB"/>
    <w:multiLevelType w:val="hybridMultilevel"/>
    <w:tmpl w:val="B028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503DF"/>
    <w:multiLevelType w:val="hybridMultilevel"/>
    <w:tmpl w:val="41106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A12F12"/>
    <w:multiLevelType w:val="hybridMultilevel"/>
    <w:tmpl w:val="2A0ED4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1E60AC"/>
    <w:multiLevelType w:val="hybridMultilevel"/>
    <w:tmpl w:val="ED50D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AE0E8E"/>
    <w:multiLevelType w:val="hybridMultilevel"/>
    <w:tmpl w:val="2C5C2470"/>
    <w:lvl w:ilvl="0" w:tplc="0409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B0272FF"/>
    <w:multiLevelType w:val="multilevel"/>
    <w:tmpl w:val="CDDE31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04434F4"/>
    <w:multiLevelType w:val="hybridMultilevel"/>
    <w:tmpl w:val="1020FFA4"/>
    <w:lvl w:ilvl="0" w:tplc="7C2627F4">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64D2F18"/>
    <w:multiLevelType w:val="hybridMultilevel"/>
    <w:tmpl w:val="F2706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2"/>
  </w:num>
  <w:num w:numId="4">
    <w:abstractNumId w:val="12"/>
  </w:num>
  <w:num w:numId="5">
    <w:abstractNumId w:val="2"/>
  </w:num>
  <w:num w:numId="6">
    <w:abstractNumId w:val="30"/>
  </w:num>
  <w:num w:numId="7">
    <w:abstractNumId w:val="8"/>
  </w:num>
  <w:num w:numId="8">
    <w:abstractNumId w:val="24"/>
  </w:num>
  <w:num w:numId="9">
    <w:abstractNumId w:val="10"/>
  </w:num>
  <w:num w:numId="10">
    <w:abstractNumId w:val="4"/>
  </w:num>
  <w:num w:numId="11">
    <w:abstractNumId w:val="13"/>
  </w:num>
  <w:num w:numId="12">
    <w:abstractNumId w:val="32"/>
  </w:num>
  <w:num w:numId="13">
    <w:abstractNumId w:val="14"/>
  </w:num>
  <w:num w:numId="14">
    <w:abstractNumId w:val="15"/>
  </w:num>
  <w:num w:numId="15">
    <w:abstractNumId w:val="1"/>
  </w:num>
  <w:num w:numId="16">
    <w:abstractNumId w:val="25"/>
  </w:num>
  <w:num w:numId="17">
    <w:abstractNumId w:val="26"/>
  </w:num>
  <w:num w:numId="18">
    <w:abstractNumId w:val="33"/>
  </w:num>
  <w:num w:numId="19">
    <w:abstractNumId w:val="6"/>
  </w:num>
  <w:num w:numId="20">
    <w:abstractNumId w:val="17"/>
  </w:num>
  <w:num w:numId="21">
    <w:abstractNumId w:val="19"/>
  </w:num>
  <w:num w:numId="22">
    <w:abstractNumId w:val="23"/>
  </w:num>
  <w:num w:numId="23">
    <w:abstractNumId w:val="29"/>
  </w:num>
  <w:num w:numId="24">
    <w:abstractNumId w:val="18"/>
  </w:num>
  <w:num w:numId="25">
    <w:abstractNumId w:val="3"/>
  </w:num>
  <w:num w:numId="26">
    <w:abstractNumId w:val="16"/>
  </w:num>
  <w:num w:numId="27">
    <w:abstractNumId w:val="5"/>
  </w:num>
  <w:num w:numId="28">
    <w:abstractNumId w:val="7"/>
  </w:num>
  <w:num w:numId="29">
    <w:abstractNumId w:val="31"/>
  </w:num>
  <w:num w:numId="30">
    <w:abstractNumId w:val="28"/>
  </w:num>
  <w:num w:numId="31">
    <w:abstractNumId w:val="21"/>
  </w:num>
  <w:num w:numId="32">
    <w:abstractNumId w:val="0"/>
  </w:num>
  <w:num w:numId="33">
    <w:abstractNumId w:val="34"/>
  </w:num>
  <w:num w:numId="34">
    <w:abstractNumId w:val="2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DE41B9"/>
    <w:rsid w:val="00007905"/>
    <w:rsid w:val="000322E8"/>
    <w:rsid w:val="000406B5"/>
    <w:rsid w:val="000872F0"/>
    <w:rsid w:val="000956AE"/>
    <w:rsid w:val="000F1F03"/>
    <w:rsid w:val="001549B8"/>
    <w:rsid w:val="001E6107"/>
    <w:rsid w:val="00241532"/>
    <w:rsid w:val="00292F75"/>
    <w:rsid w:val="00331A83"/>
    <w:rsid w:val="003933C4"/>
    <w:rsid w:val="003A4B71"/>
    <w:rsid w:val="003B0F15"/>
    <w:rsid w:val="003F0E11"/>
    <w:rsid w:val="00431F99"/>
    <w:rsid w:val="004A080E"/>
    <w:rsid w:val="00515571"/>
    <w:rsid w:val="005C06C7"/>
    <w:rsid w:val="005F4AFA"/>
    <w:rsid w:val="00675844"/>
    <w:rsid w:val="00682B79"/>
    <w:rsid w:val="006A25B5"/>
    <w:rsid w:val="006B0BD2"/>
    <w:rsid w:val="0071440F"/>
    <w:rsid w:val="00755C4E"/>
    <w:rsid w:val="007600D8"/>
    <w:rsid w:val="007614F7"/>
    <w:rsid w:val="007A09B0"/>
    <w:rsid w:val="007F2FCC"/>
    <w:rsid w:val="008A14B5"/>
    <w:rsid w:val="008C5F5A"/>
    <w:rsid w:val="008D73D1"/>
    <w:rsid w:val="008E72F6"/>
    <w:rsid w:val="009110AF"/>
    <w:rsid w:val="009155B5"/>
    <w:rsid w:val="0092353B"/>
    <w:rsid w:val="00946799"/>
    <w:rsid w:val="009B233C"/>
    <w:rsid w:val="00A01E6D"/>
    <w:rsid w:val="00A66265"/>
    <w:rsid w:val="00B01F6C"/>
    <w:rsid w:val="00B13CC2"/>
    <w:rsid w:val="00B24A4C"/>
    <w:rsid w:val="00B30FF2"/>
    <w:rsid w:val="00B97CEB"/>
    <w:rsid w:val="00BE270B"/>
    <w:rsid w:val="00C30D26"/>
    <w:rsid w:val="00C664A0"/>
    <w:rsid w:val="00C91852"/>
    <w:rsid w:val="00C96C59"/>
    <w:rsid w:val="00CC2204"/>
    <w:rsid w:val="00CD2823"/>
    <w:rsid w:val="00D7070F"/>
    <w:rsid w:val="00DB2B72"/>
    <w:rsid w:val="00DE41B9"/>
    <w:rsid w:val="00DE6B95"/>
    <w:rsid w:val="00E235CA"/>
    <w:rsid w:val="00F02687"/>
    <w:rsid w:val="00F1325C"/>
    <w:rsid w:val="00F20E3A"/>
    <w:rsid w:val="00FA0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F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9">
    <w:name w:val="Estilo19"/>
    <w:uiPriority w:val="99"/>
    <w:rsid w:val="00755C4E"/>
    <w:pPr>
      <w:numPr>
        <w:numId w:val="1"/>
      </w:numPr>
    </w:pPr>
  </w:style>
  <w:style w:type="paragraph" w:styleId="Encabezado">
    <w:name w:val="header"/>
    <w:basedOn w:val="Normal"/>
    <w:link w:val="EncabezadoCar"/>
    <w:uiPriority w:val="99"/>
    <w:unhideWhenUsed/>
    <w:rsid w:val="00DE41B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41B9"/>
    <w:rPr>
      <w:lang w:val="es-AR"/>
    </w:rPr>
  </w:style>
  <w:style w:type="paragraph" w:styleId="Piedepgina">
    <w:name w:val="footer"/>
    <w:basedOn w:val="Normal"/>
    <w:link w:val="PiedepginaCar"/>
    <w:uiPriority w:val="99"/>
    <w:semiHidden/>
    <w:unhideWhenUsed/>
    <w:rsid w:val="00DE41B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DE41B9"/>
    <w:rPr>
      <w:lang w:val="es-AR"/>
    </w:rPr>
  </w:style>
  <w:style w:type="paragraph" w:styleId="Textodeglobo">
    <w:name w:val="Balloon Text"/>
    <w:basedOn w:val="Normal"/>
    <w:link w:val="TextodegloboCar"/>
    <w:uiPriority w:val="99"/>
    <w:semiHidden/>
    <w:unhideWhenUsed/>
    <w:rsid w:val="00DE41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1B9"/>
    <w:rPr>
      <w:rFonts w:ascii="Tahoma" w:hAnsi="Tahoma" w:cs="Tahoma"/>
      <w:sz w:val="16"/>
      <w:szCs w:val="16"/>
      <w:lang w:val="es-AR"/>
    </w:rPr>
  </w:style>
  <w:style w:type="paragraph" w:styleId="Prrafodelista">
    <w:name w:val="List Paragraph"/>
    <w:basedOn w:val="Normal"/>
    <w:uiPriority w:val="34"/>
    <w:qFormat/>
    <w:rsid w:val="00DE41B9"/>
    <w:pPr>
      <w:ind w:left="720"/>
      <w:contextualSpacing/>
    </w:pPr>
  </w:style>
  <w:style w:type="paragraph" w:styleId="Textonotapie">
    <w:name w:val="footnote text"/>
    <w:basedOn w:val="Normal"/>
    <w:link w:val="TextonotapieCar"/>
    <w:uiPriority w:val="99"/>
    <w:semiHidden/>
    <w:unhideWhenUsed/>
    <w:rsid w:val="00B97CE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97CEB"/>
    <w:rPr>
      <w:rFonts w:ascii="Calibri" w:eastAsia="Calibri" w:hAnsi="Calibri" w:cs="Times New Roman"/>
      <w:sz w:val="20"/>
      <w:szCs w:val="20"/>
      <w:lang w:val="es-AR"/>
    </w:rPr>
  </w:style>
  <w:style w:type="character" w:styleId="Refdenotaalpie">
    <w:name w:val="footnote reference"/>
    <w:uiPriority w:val="99"/>
    <w:semiHidden/>
    <w:unhideWhenUsed/>
    <w:rsid w:val="00B97CEB"/>
    <w:rPr>
      <w:vertAlign w:val="superscript"/>
    </w:rPr>
  </w:style>
  <w:style w:type="paragraph" w:styleId="Textoindependiente">
    <w:name w:val="Body Text"/>
    <w:basedOn w:val="Normal"/>
    <w:link w:val="TextoindependienteCar"/>
    <w:rsid w:val="00292F75"/>
    <w:pPr>
      <w:spacing w:after="0" w:line="240" w:lineRule="auto"/>
    </w:pPr>
    <w:rPr>
      <w:rFonts w:ascii="Times New Roman" w:eastAsia="Times New Roman" w:hAnsi="Times New Roman" w:cs="Times New Roman"/>
      <w:sz w:val="24"/>
      <w:szCs w:val="20"/>
      <w:u w:val="single"/>
      <w:lang w:eastAsia="es-ES"/>
    </w:rPr>
  </w:style>
  <w:style w:type="character" w:customStyle="1" w:styleId="TextoindependienteCar">
    <w:name w:val="Texto independiente Car"/>
    <w:basedOn w:val="Fuentedeprrafopredeter"/>
    <w:link w:val="Textoindependiente"/>
    <w:rsid w:val="00292F75"/>
    <w:rPr>
      <w:rFonts w:ascii="Times New Roman" w:eastAsia="Times New Roman" w:hAnsi="Times New Roman" w:cs="Times New Roman"/>
      <w:sz w:val="24"/>
      <w:szCs w:val="20"/>
      <w:u w:val="single"/>
      <w:lang w:val="es-AR" w:eastAsia="es-ES"/>
    </w:rPr>
  </w:style>
</w:styles>
</file>

<file path=word/webSettings.xml><?xml version="1.0" encoding="utf-8"?>
<w:webSettings xmlns:r="http://schemas.openxmlformats.org/officeDocument/2006/relationships" xmlns:w="http://schemas.openxmlformats.org/wordprocessingml/2006/main">
  <w:divs>
    <w:div w:id="91438543">
      <w:bodyDiv w:val="1"/>
      <w:marLeft w:val="0"/>
      <w:marRight w:val="0"/>
      <w:marTop w:val="0"/>
      <w:marBottom w:val="0"/>
      <w:divBdr>
        <w:top w:val="none" w:sz="0" w:space="0" w:color="auto"/>
        <w:left w:val="none" w:sz="0" w:space="0" w:color="auto"/>
        <w:bottom w:val="none" w:sz="0" w:space="0" w:color="auto"/>
        <w:right w:val="none" w:sz="0" w:space="0" w:color="auto"/>
      </w:divBdr>
    </w:div>
    <w:div w:id="21212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11E9-CD88-4E89-B98E-81A11500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11</Pages>
  <Words>2931</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Aníbal</dc:creator>
  <cp:lastModifiedBy>Aníbal</cp:lastModifiedBy>
  <cp:revision>6</cp:revision>
  <dcterms:created xsi:type="dcterms:W3CDTF">2016-03-09T21:18:00Z</dcterms:created>
  <dcterms:modified xsi:type="dcterms:W3CDTF">2016-03-11T00:55:00Z</dcterms:modified>
</cp:coreProperties>
</file>