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6" w:rsidRPr="00F45E41" w:rsidRDefault="005A3FF6" w:rsidP="000C2F45">
      <w:pPr>
        <w:jc w:val="center"/>
        <w:rPr>
          <w:b/>
          <w:lang w:val="es-ES"/>
        </w:rPr>
      </w:pPr>
      <w:r w:rsidRPr="00F45E41">
        <w:rPr>
          <w:b/>
          <w:lang w:val="es-ES"/>
        </w:rPr>
        <w:t>PROYECTOS DE DESARROLLO TECNOLÓGICO Y SOCIAL-CONVOCATORIA  CIN</w:t>
      </w:r>
      <w:r>
        <w:rPr>
          <w:b/>
          <w:lang w:val="es-ES"/>
        </w:rPr>
        <w:t>-CONICET</w:t>
      </w:r>
      <w:r w:rsidRPr="00F45E41">
        <w:rPr>
          <w:b/>
          <w:lang w:val="es-ES"/>
        </w:rPr>
        <w:t xml:space="preserve"> 2014</w:t>
      </w:r>
    </w:p>
    <w:p w:rsidR="005A3FF6" w:rsidRPr="00F45E41" w:rsidRDefault="005A3FF6" w:rsidP="000C2F45">
      <w:pPr>
        <w:jc w:val="center"/>
        <w:rPr>
          <w:b/>
          <w:lang w:val="es-ES"/>
        </w:rPr>
      </w:pPr>
      <w:r w:rsidRPr="00F45E41">
        <w:rPr>
          <w:b/>
          <w:lang w:val="es-ES"/>
        </w:rPr>
        <w:t xml:space="preserve">ACTA DE </w:t>
      </w:r>
      <w:smartTag w:uri="urn:schemas-microsoft-com:office:smarttags" w:element="PersonName">
        <w:smartTagPr>
          <w:attr w:name="ProductID" w:val="LA REUNIÓN DE"/>
        </w:smartTagPr>
        <w:r w:rsidRPr="00F45E41">
          <w:rPr>
            <w:b/>
            <w:lang w:val="es-ES"/>
          </w:rPr>
          <w:t>LA REUNIÓN DE</w:t>
        </w:r>
      </w:smartTag>
      <w:r w:rsidRPr="00F45E41">
        <w:rPr>
          <w:b/>
          <w:lang w:val="es-ES"/>
        </w:rPr>
        <w:t xml:space="preserve"> </w:t>
      </w:r>
      <w:smartTag w:uri="urn:schemas-microsoft-com:office:smarttags" w:element="PersonName">
        <w:smartTagPr>
          <w:attr w:name="ProductID" w:val="la Comisión Ad-Hoc"/>
        </w:smartTagPr>
        <w:r>
          <w:rPr>
            <w:b/>
            <w:lang w:val="es-ES"/>
          </w:rPr>
          <w:t xml:space="preserve">LA </w:t>
        </w:r>
        <w:r w:rsidRPr="00F45E41">
          <w:rPr>
            <w:b/>
            <w:lang w:val="es-ES"/>
          </w:rPr>
          <w:t xml:space="preserve">COMISIÓN </w:t>
        </w:r>
        <w:r>
          <w:rPr>
            <w:b/>
            <w:lang w:val="es-ES"/>
          </w:rPr>
          <w:t>AD-HOC</w:t>
        </w:r>
      </w:smartTag>
    </w:p>
    <w:tbl>
      <w:tblPr>
        <w:tblW w:w="0" w:type="auto"/>
        <w:tblLook w:val="00A0"/>
      </w:tblPr>
      <w:tblGrid>
        <w:gridCol w:w="4489"/>
        <w:gridCol w:w="4489"/>
      </w:tblGrid>
      <w:tr w:rsidR="005A3FF6" w:rsidRPr="005E6BD1" w:rsidTr="005E6BD1">
        <w:tc>
          <w:tcPr>
            <w:tcW w:w="4489" w:type="dxa"/>
          </w:tcPr>
          <w:p w:rsidR="005A3FF6" w:rsidRPr="005E6BD1" w:rsidRDefault="005A3FF6" w:rsidP="005E6BD1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5E6BD1">
              <w:rPr>
                <w:b/>
                <w:lang w:val="es-ES"/>
              </w:rPr>
              <w:t>Miembros presentes: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Teresita Alejandra Rojas (UNCa)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Mercedes Campderrós (UNSL)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Irma Sommerfelt (UBA)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Manuel González (UNMdP)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Martín Omar Bentura (CONICET)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Marcela Alejandra Blanc (CONICET)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María Emilia Kecskemeti (CONICET)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Leandro Lo Preiato (CONICET)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5E6BD1">
              <w:rPr>
                <w:b/>
                <w:lang w:val="es-ES"/>
              </w:rPr>
              <w:t>Apoyo del CIN: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 xml:space="preserve">Silvia Mazza 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Carlos Abeledo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  <w:r w:rsidRPr="005E6BD1">
              <w:rPr>
                <w:lang w:val="es-ES"/>
              </w:rPr>
              <w:t>Mauricio Horn</w:t>
            </w:r>
          </w:p>
          <w:p w:rsidR="005A3FF6" w:rsidRPr="005E6BD1" w:rsidRDefault="005A3FF6" w:rsidP="005E6BD1">
            <w:pPr>
              <w:spacing w:after="0" w:line="240" w:lineRule="auto"/>
              <w:jc w:val="both"/>
              <w:rPr>
                <w:lang w:val="es-ES"/>
              </w:rPr>
            </w:pPr>
          </w:p>
        </w:tc>
        <w:tc>
          <w:tcPr>
            <w:tcW w:w="4489" w:type="dxa"/>
          </w:tcPr>
          <w:p w:rsidR="005A3FF6" w:rsidRPr="005E6BD1" w:rsidRDefault="005A3FF6" w:rsidP="005E6BD1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</w:tc>
      </w:tr>
    </w:tbl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 xml:space="preserve">Siendo las 10 hs. del día 28 de abril de 2015, se reúne </w:t>
      </w:r>
      <w:smartTag w:uri="urn:schemas-microsoft-com:office:smarttags" w:element="PersonName">
        <w:smartTagPr>
          <w:attr w:name="ProductID" w:val="la Resolución"/>
        </w:smartTagPr>
        <w:r>
          <w:rPr>
            <w:lang w:val="es-ES"/>
          </w:rPr>
          <w:t>la Comisión Ad-Hoc</w:t>
        </w:r>
      </w:smartTag>
      <w:r>
        <w:rPr>
          <w:lang w:val="es-ES"/>
        </w:rPr>
        <w:t xml:space="preserve">  con el objeto de tratar los recursos presentados en el marco de </w:t>
      </w:r>
      <w:smartTag w:uri="urn:schemas-microsoft-com:office:smarttags" w:element="PersonName">
        <w:smartTagPr>
          <w:attr w:name="ProductID" w:val="la Resolución"/>
        </w:smartTagPr>
        <w:r>
          <w:rPr>
            <w:lang w:val="es-ES"/>
          </w:rPr>
          <w:t>la Convocatoria PDTS</w:t>
        </w:r>
      </w:smartTag>
      <w:r>
        <w:rPr>
          <w:lang w:val="es-ES"/>
        </w:rPr>
        <w:t xml:space="preserve"> CIN- CONICET 2014.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Se informa que, en el plazo estipulado se han recibido 67 recursos.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 xml:space="preserve">Analizados los recursos presentados, </w:t>
      </w:r>
      <w:smartTag w:uri="urn:schemas-microsoft-com:office:smarttags" w:element="PersonName">
        <w:smartTagPr>
          <w:attr w:name="ProductID" w:val="la Resolución"/>
        </w:smartTagPr>
        <w:r>
          <w:rPr>
            <w:lang w:val="es-ES"/>
          </w:rPr>
          <w:t>la Comisión Ad-Hoc</w:t>
        </w:r>
      </w:smartTag>
      <w:r>
        <w:rPr>
          <w:lang w:val="es-ES"/>
        </w:rPr>
        <w:t xml:space="preserve"> recomienda lo consignado a continuación:</w:t>
      </w:r>
    </w:p>
    <w:p w:rsidR="005A3FF6" w:rsidRDefault="005A3FF6" w:rsidP="000C2F4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Hacer lugar a los recursos presentados y solicitar al Comité Evaluador la ampliación de dictamen</w:t>
      </w:r>
      <w:r w:rsidRPr="002B148D">
        <w:rPr>
          <w:lang w:val="es-ES"/>
        </w:rPr>
        <w:t xml:space="preserve"> </w:t>
      </w:r>
      <w:r>
        <w:rPr>
          <w:lang w:val="es-ES"/>
        </w:rPr>
        <w:t>de los siguientes casos:</w:t>
      </w:r>
    </w:p>
    <w:tbl>
      <w:tblPr>
        <w:tblW w:w="9087" w:type="dxa"/>
        <w:tblCellMar>
          <w:left w:w="70" w:type="dxa"/>
          <w:right w:w="70" w:type="dxa"/>
        </w:tblCellMar>
        <w:tblLook w:val="00A0"/>
      </w:tblPr>
      <w:tblGrid>
        <w:gridCol w:w="637"/>
        <w:gridCol w:w="6521"/>
        <w:gridCol w:w="1929"/>
      </w:tblGrid>
      <w:tr w:rsidR="005A3FF6" w:rsidRPr="005E6BD1" w:rsidTr="00217977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PDTS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TITULO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Director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Determinación de actividad antioxidante en productos fruti-hortícolas de la región Gran La Plata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Mirífico, María Virginia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115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Desarrollo de una plataforma para la obtención biotecnológica de etanol de segunda generación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Beccaria,Alejandro José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116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Diseño, producción y gestión de sistemas socio-técnicos para el desarrollo inclusivo sustentable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Thomas,Hernan Eduardo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Desarrollo de una alternativa sustentable para el tratamiento de aguas residuales industriales.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Ayude,Maria Alejandra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161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El género Lotus spp como especie leguminosa clave, para una mejor produccion ganadera en ambientes restrictivos.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Ruiz,Oscar A.</w:t>
            </w:r>
          </w:p>
        </w:tc>
      </w:tr>
      <w:tr w:rsidR="005A3FF6" w:rsidRPr="005E6BD1" w:rsidTr="00217977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163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Ahorro Domiciliario de Energía y Agua Potable en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217977">
                <w:rPr>
                  <w:rFonts w:ascii="Times New Roman" w:hAnsi="Times New Roman"/>
                  <w:sz w:val="18"/>
                  <w:szCs w:val="18"/>
                  <w:lang w:eastAsia="es-AR"/>
                </w:rPr>
                <w:t>la Ciudad</w:t>
              </w:r>
            </w:smartTag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 de la Rioja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Carbel,Enrique Darío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176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Aplicaciones de organismos y/o sus productos derivados en el manejo de plagas y enfermedades de cultivos agroindustriales de La Rioja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Benavente,Alba Maria Del Valle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195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Selección y evaluación de germoplasma para la recuperación productiva de aréas salinas de los Oasis irrigados de San Juan.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Villagra, Pablo Eugenio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Elaboración de harina de sorgo modificada reducida en taninos apta para celíacos a partir de materia prima regional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Sosa, Gladis Laura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224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Control de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217977">
                <w:rPr>
                  <w:rFonts w:ascii="Times New Roman" w:hAnsi="Times New Roman"/>
                  <w:sz w:val="18"/>
                  <w:szCs w:val="18"/>
                  <w:lang w:eastAsia="es-AR"/>
                </w:rPr>
                <w:t>la Brucelosis</w:t>
              </w:r>
            </w:smartTag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 bovina en establecimientos ganaderos de la región Este de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217977">
                <w:rPr>
                  <w:rFonts w:ascii="Times New Roman" w:hAnsi="Times New Roman"/>
                  <w:sz w:val="18"/>
                  <w:szCs w:val="18"/>
                  <w:lang w:eastAsia="es-AR"/>
                </w:rPr>
                <w:t>la Provincia</w:t>
              </w:r>
            </w:smartTag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 de Formosa.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Monzon,Carlos Manuel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233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Diagnóstico de las condiciones de empleo y socio-demográficas para la mejora del desarrollo local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Montes Cató,Juan Sebastian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249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El Conocimiento Botánico Tradicional como patrimonio natural y cultural de la comunidad de Abralaite, Jujuy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Vignale,Nilda Dora</w:t>
            </w:r>
          </w:p>
        </w:tc>
      </w:tr>
      <w:tr w:rsidR="005A3FF6" w:rsidRPr="005E6BD1" w:rsidTr="0021797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Del territorio rural a la ciudad: características socioculturales, trayectorias de la migración y políticas públicas en relación a los pueblos indígenas en ámbitos urbanos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Balazote, Alejandro Omar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Polímeros de Interés Industrial a partir de Recursos Renovables: Resinas Fenólicas Modificadas con Ligninas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Nicolau, Verónica Viviana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Estimación y monitoreo de las emisiones de oxido nitroso en cultivos agricolas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Piñeiro, Gervasio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Acceso a la justicia - Políticas públicas con perspectiva etaria y de género: ¿Cómo construir herramientas para enfrentar los obstáculos?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González,Manuela Graciela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325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Escenarios de daños por sismos cercanos para el Gran San Miguel de Tucumán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Abascal, Liliana Del Valle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Estrategias combinadas para reducir el daño de patógenos fúngicos sobre el cultivo de trigo, girasol y olivo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Carrera, Alicia Delia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416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FUNCIONAMIENTO DE VEGAS DE ALTA MONTAÑA, PROVISIÓN DE AGUA, Y VULNERABILIDAD A CAMBIO CLIMÁTICO, USO ANTRÓPICO Y GANADERÍA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Grau,Héctor Ricardo</w:t>
            </w:r>
          </w:p>
        </w:tc>
      </w:tr>
      <w:tr w:rsidR="005A3FF6" w:rsidRPr="005E6BD1" w:rsidTr="0021797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Los riesgos psicosociales en el trabajo. Relevamiento de la percepción y vivencias por parte de los trabajadores asalariados con vistas a su prevención.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Ferrari, Liliana Edith</w:t>
            </w:r>
          </w:p>
        </w:tc>
      </w:tr>
      <w:tr w:rsidR="005A3FF6" w:rsidRPr="005E6BD1" w:rsidTr="00217977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447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0F56DF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0F56DF">
              <w:rPr>
                <w:rFonts w:ascii="Times New Roman" w:hAnsi="Times New Roman"/>
                <w:sz w:val="18"/>
                <w:szCs w:val="18"/>
                <w:lang w:val="es-ES" w:eastAsia="es-ES"/>
              </w:rPr>
              <w:t>Mujeres, ciudadan</w:t>
            </w:r>
            <w:r w:rsidRPr="000F56DF">
              <w:rPr>
                <w:rFonts w:ascii="Arial Unicode MS" w:eastAsia="Arial Unicode MS" w:hAnsi="Times New Roman" w:cs="Arial Unicode MS"/>
                <w:sz w:val="18"/>
                <w:szCs w:val="18"/>
                <w:lang w:val="es-ES" w:eastAsia="es-ES"/>
              </w:rPr>
              <w:t>í</w:t>
            </w:r>
            <w:r w:rsidRPr="000F56DF">
              <w:rPr>
                <w:rFonts w:ascii="Times New Roman" w:hAnsi="Times New Roman"/>
                <w:sz w:val="18"/>
                <w:szCs w:val="18"/>
                <w:lang w:val="es-ES" w:eastAsia="es-ES"/>
              </w:rPr>
              <w:t>a y trabajo sexual en San Juan.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0F56DF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0F56DF">
              <w:rPr>
                <w:rFonts w:ascii="Times New Roman" w:hAnsi="Times New Roman"/>
                <w:sz w:val="18"/>
                <w:szCs w:val="18"/>
                <w:lang w:eastAsia="es-AR"/>
              </w:rPr>
              <w:t>Varela, Cecilia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463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Innovación Tecnológica orientada a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217977">
                <w:rPr>
                  <w:rFonts w:ascii="Times New Roman" w:hAnsi="Times New Roman"/>
                  <w:sz w:val="18"/>
                  <w:szCs w:val="18"/>
                  <w:lang w:eastAsia="es-AR"/>
                </w:rPr>
                <w:t>la Producción Pública</w:t>
              </w:r>
            </w:smartTag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 de Medicamentos Pediátricos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Ramírez Rigo,María Veronica</w:t>
            </w:r>
          </w:p>
        </w:tc>
      </w:tr>
      <w:tr w:rsidR="005A3FF6" w:rsidRPr="005E6BD1" w:rsidTr="0021797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Rol epidemiológico del manipulador de alimentos en la transmisión de Campylobacter termotolerantes y Salmonella spp. y su asociación con casos de diarrea en niños de sectores socialmente vulnerables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Frizzo, Laureano Sebastián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RECURSOS NATURALES: Variaciones Patrimoniales Modificativas y su impacto en la información contable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Pahlen, Ricardo J. M.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Valorización de un residuo agroindustrial: generación de bioproductos a partir de escobajo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Kurina-Sanz, Marcela Beatriz</w:t>
            </w:r>
          </w:p>
        </w:tc>
      </w:tr>
      <w:tr w:rsidR="005A3FF6" w:rsidRPr="005E6BD1" w:rsidTr="00217977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502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Pesca artesanal y Turismo ecológico. Reinterpretando nuestro mar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Noceti,Maria Belén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508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Optimización de la soldadura de aceros inoxidables dúplex para aplicaciones en la industria energética.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Surian,Estela Silvia</w:t>
            </w:r>
          </w:p>
        </w:tc>
      </w:tr>
      <w:tr w:rsidR="005A3FF6" w:rsidRPr="005E6BD1" w:rsidTr="0021797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527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Prácticas agrícolas andinas y de agricultura orgánica: integración de las mismas en el uso de la tierra en una comunidad indígena del valle de Yocavil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Sampietro Vattuone, Maria Marta</w:t>
            </w:r>
          </w:p>
        </w:tc>
      </w:tr>
      <w:tr w:rsidR="005A3FF6" w:rsidRPr="005E6BD1" w:rsidTr="0021797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549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Diseño de dispositivos para el tratamiento y purificación de aguas contaminadas.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Caracciolo, Nestor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554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Tecnologías de pequeña escala para el tratamiento in situ de aguas residuales domésticas.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Diaz,Adriana Alejandra</w:t>
            </w:r>
          </w:p>
        </w:tc>
      </w:tr>
      <w:tr w:rsidR="005A3FF6" w:rsidRPr="005E6BD1" w:rsidTr="00217977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561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Ciencia y Tecnología en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217977">
                <w:rPr>
                  <w:rFonts w:ascii="Times New Roman" w:hAnsi="Times New Roman"/>
                  <w:sz w:val="18"/>
                  <w:szCs w:val="18"/>
                  <w:lang w:eastAsia="es-AR"/>
                </w:rPr>
                <w:t>la Conservación</w:t>
              </w:r>
            </w:smartTag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 xml:space="preserve"> de Humedales: educación para la conservación y uso de aplicaciones informáticas para organizar datos biológicos con participación comunitaria y gubernamental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Canziani,Graciela Ana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576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DESARROLLO DE TURBINA HIDROCINÉTICA PARA EMPRENDIMIENTOS FLUVIALES Y MARITIMOS EN LA PATAGONIA AUSTRAL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León,Horacio Leonardo</w:t>
            </w:r>
          </w:p>
        </w:tc>
      </w:tr>
      <w:tr w:rsidR="005A3FF6" w:rsidRPr="005E6BD1" w:rsidTr="00217977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601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Puesta en funcionamiento del primer Centro de Expedición de moluscos bivalvos en la costa del Golfo San José (Península Valdés)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217977" w:rsidRDefault="005A3FF6" w:rsidP="0021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217977">
              <w:rPr>
                <w:rFonts w:ascii="Times New Roman" w:hAnsi="Times New Roman"/>
                <w:sz w:val="18"/>
                <w:szCs w:val="18"/>
                <w:lang w:eastAsia="es-AR"/>
              </w:rPr>
              <w:t>Castaños,Cecilia</w:t>
            </w:r>
          </w:p>
        </w:tc>
      </w:tr>
    </w:tbl>
    <w:p w:rsidR="005A3FF6" w:rsidRDefault="005A3FF6" w:rsidP="007478EB">
      <w:pPr>
        <w:pStyle w:val="ListParagraph"/>
        <w:jc w:val="both"/>
        <w:rPr>
          <w:lang w:val="es-ES"/>
        </w:rPr>
      </w:pPr>
    </w:p>
    <w:p w:rsidR="005A3FF6" w:rsidRPr="00476738" w:rsidRDefault="005A3FF6" w:rsidP="000C2F4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Hacer lugar a los recursos presentados y s</w:t>
      </w:r>
      <w:r w:rsidRPr="00476738">
        <w:rPr>
          <w:lang w:val="es-ES"/>
        </w:rPr>
        <w:t>olicitar una nueva evaluación designando otro Comité Evaluador para  los siguientes casos:</w:t>
      </w:r>
    </w:p>
    <w:tbl>
      <w:tblPr>
        <w:tblW w:w="9090" w:type="dxa"/>
        <w:tblInd w:w="-20" w:type="dxa"/>
        <w:tblCellMar>
          <w:left w:w="70" w:type="dxa"/>
          <w:right w:w="70" w:type="dxa"/>
        </w:tblCellMar>
        <w:tblLook w:val="00A0"/>
      </w:tblPr>
      <w:tblGrid>
        <w:gridCol w:w="657"/>
        <w:gridCol w:w="6521"/>
        <w:gridCol w:w="1912"/>
      </w:tblGrid>
      <w:tr w:rsidR="005A3FF6" w:rsidRPr="005E6BD1" w:rsidTr="00A95560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PDTS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Titulo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DIRECTOR</w:t>
            </w:r>
          </w:p>
        </w:tc>
      </w:tr>
      <w:tr w:rsidR="005A3FF6" w:rsidRPr="005E6BD1" w:rsidTr="007516B0">
        <w:trPr>
          <w:trHeight w:val="37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Diagnóstico hidrológico-ambiental del área de desarrollo norte de la ciudad de santa fe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D´Elia, Mónica Patricia</w:t>
            </w:r>
          </w:p>
        </w:tc>
      </w:tr>
      <w:tr w:rsidR="005A3FF6" w:rsidRPr="005E6BD1" w:rsidTr="007516B0">
        <w:trPr>
          <w:trHeight w:val="4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Hacia una pesquería artesanal sustentable en tierra del fuego: aplicando el enfoque ecosistémico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Fernández ,Daniel Alfredo</w:t>
            </w:r>
          </w:p>
        </w:tc>
      </w:tr>
      <w:tr w:rsidR="005A3FF6" w:rsidRPr="005E6BD1" w:rsidTr="00A9556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Desarrollo de técnicas de base inmunológica para el diagnóstico de la infección por el virus de la leucemia bovina (blv)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Gutiérrez, Silvina Elena</w:t>
            </w:r>
          </w:p>
        </w:tc>
      </w:tr>
      <w:tr w:rsidR="005A3FF6" w:rsidRPr="005E6BD1" w:rsidTr="00A9556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Un planetario para bahía blanca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Ortega, Néstor Francisco</w:t>
            </w:r>
          </w:p>
        </w:tc>
      </w:tr>
      <w:tr w:rsidR="005A3FF6" w:rsidRPr="005E6BD1" w:rsidTr="00A9556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Estudio de procesos avanzados de oxidación aplicados al tratamiento de aguas residuales de la industria farmacéutica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Barbero,Bibiana Patricia</w:t>
            </w:r>
          </w:p>
        </w:tc>
      </w:tr>
      <w:tr w:rsidR="005A3FF6" w:rsidRPr="005E6BD1" w:rsidTr="00A9556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Diseño y desarrollo de nuevos inhibidores de la telomerasa en modelos de cáncer pulmonar.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Gomez,Daniel</w:t>
            </w:r>
          </w:p>
        </w:tc>
      </w:tr>
      <w:tr w:rsidR="005A3FF6" w:rsidRPr="005E6BD1" w:rsidTr="00A9556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 xml:space="preserve"> Planeamiento óptimo en sistemas de salud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Bandoni, José Alberto</w:t>
            </w:r>
          </w:p>
        </w:tc>
      </w:tr>
      <w:tr w:rsidR="005A3FF6" w:rsidRPr="005E6BD1" w:rsidTr="007516B0">
        <w:trPr>
          <w:trHeight w:val="46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Herramientas para el manejo sustentable de la pesca artesanal en el partido de la costa (buenos aires)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Volpedo,Alejandra Vanina</w:t>
            </w:r>
          </w:p>
        </w:tc>
      </w:tr>
      <w:tr w:rsidR="005A3FF6" w:rsidRPr="005E6BD1" w:rsidTr="007516B0">
        <w:trPr>
          <w:trHeight w:val="6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Estudio de la capacidad de la mutante rcsc11 de atenuar la virulencia de salmonella typhimurium: desarrollo de vacunas vectores para el control de infecciones bacterianas en la poblacion argentina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Delgado,Monica Alejandra</w:t>
            </w:r>
          </w:p>
        </w:tc>
      </w:tr>
      <w:tr w:rsidR="005A3FF6" w:rsidRPr="005E6BD1" w:rsidTr="00A9556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Produccion sustentable de enzimas proteolíticas de origen fúngico para el tratamiento de subproductos de la industria cárnica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Albertó,Edgardo Omar</w:t>
            </w:r>
          </w:p>
        </w:tc>
      </w:tr>
      <w:tr w:rsidR="005A3FF6" w:rsidRPr="005E6BD1" w:rsidTr="00A9556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Robots educ@tivos usados para la enseñanza de la programación en escuelas secundarias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Banchoff Tzancoff,Claudia Mariana</w:t>
            </w:r>
          </w:p>
        </w:tc>
      </w:tr>
      <w:tr w:rsidR="005A3FF6" w:rsidRPr="005E6BD1" w:rsidTr="00A9556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Impacto de la contaminación ambiental en el desarrollo de los programas de uso sustentable y su incidencia sobre las economías regionales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Poletta,Gisela Laura</w:t>
            </w:r>
          </w:p>
        </w:tc>
      </w:tr>
      <w:tr w:rsidR="005A3FF6" w:rsidRPr="005E6BD1" w:rsidTr="007516B0">
        <w:trPr>
          <w:trHeight w:val="37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Diagnósticos dosc. Diagnósticos organizacionales sistémico-cibernéticos.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Porebski, Roberto Juan</w:t>
            </w:r>
          </w:p>
        </w:tc>
      </w:tr>
      <w:tr w:rsidR="005A3FF6" w:rsidRPr="005E6BD1" w:rsidTr="007516B0">
        <w:trPr>
          <w:trHeight w:val="7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482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Desarrollo y evaluación de diferentes composiciones de feromona sexual para el monitoreo de adultos de la oruga cogollera Spodoptera frugiperda, principal plaga del cultivo de maíz en Argentina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Guerenstein,Pablo Gustavo</w:t>
            </w:r>
          </w:p>
        </w:tc>
      </w:tr>
      <w:tr w:rsidR="005A3FF6" w:rsidRPr="005E6BD1" w:rsidTr="00A95560">
        <w:trPr>
          <w:trHeight w:val="10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532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 xml:space="preserve">Desarrollo de Técnicas Analíticas basadas en LIBS (Laser Induced Breakdown Spectroscopy) y LV-enose (Laser Vaporization electronic Nose) para la detección de Indicadores de riesgo de la transmisión de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7478EB">
                <w:rPr>
                  <w:rFonts w:ascii="Times New Roman" w:hAnsi="Times New Roman"/>
                  <w:color w:val="000000"/>
                  <w:sz w:val="18"/>
                  <w:szCs w:val="18"/>
                  <w:lang w:eastAsia="es-AR"/>
                </w:rPr>
                <w:t>la Enfermedad</w:t>
              </w:r>
            </w:smartTag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 xml:space="preserve"> de Chagas y metales pesados en matrices organicas.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sz w:val="18"/>
                <w:szCs w:val="18"/>
                <w:lang w:eastAsia="es-AR"/>
              </w:rPr>
              <w:t>Rinaldi,Carlos Alberto</w:t>
            </w:r>
          </w:p>
        </w:tc>
      </w:tr>
      <w:tr w:rsidR="005A3FF6" w:rsidRPr="005E6BD1" w:rsidTr="00A9556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629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 la mesada a la clínica: del diagnóstico molecular de infecciones a la búsqueda de nuevos agentes inmuno-terapéuticos.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Pasquinelli,Virginia</w:t>
            </w:r>
          </w:p>
        </w:tc>
      </w:tr>
      <w:tr w:rsidR="005A3FF6" w:rsidRPr="005E6BD1" w:rsidTr="00A95560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652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Estudio y desarrollo sustentable de estrategias de tratamiento de efluentes hidrocarbonados de barcos del puerto de Mar del Plata (mdp)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7478EB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7478EB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 xml:space="preserve">Murialdo,Silvia Elena </w:t>
            </w:r>
          </w:p>
        </w:tc>
      </w:tr>
    </w:tbl>
    <w:p w:rsidR="005A3FF6" w:rsidRDefault="005A3FF6" w:rsidP="000C2F45">
      <w:pPr>
        <w:pStyle w:val="ListParagraph"/>
        <w:jc w:val="both"/>
        <w:rPr>
          <w:lang w:val="es-ES"/>
        </w:rPr>
      </w:pPr>
    </w:p>
    <w:p w:rsidR="005A3FF6" w:rsidRDefault="005A3FF6" w:rsidP="000C2F4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Hacer lugar al recurso presentado por el Director del PDTS Nro 291, debido a la detección de una inconsistencia entre el dictamen impreso y la versión digital. Esta Comisión Ad-Hoc corrige el puntaje en el ítem IV correspondiendo 16 puntos por lo que asigna un puntaje total de 76 puntos.</w:t>
      </w:r>
    </w:p>
    <w:tbl>
      <w:tblPr>
        <w:tblW w:w="9090" w:type="dxa"/>
        <w:tblInd w:w="-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0"/>
        <w:gridCol w:w="6570"/>
        <w:gridCol w:w="1890"/>
      </w:tblGrid>
      <w:tr w:rsidR="005A3FF6" w:rsidRPr="005E6BD1" w:rsidTr="00D4406E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D4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PDTS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D4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TITULO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D4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DIRECTOR</w:t>
            </w:r>
          </w:p>
        </w:tc>
      </w:tr>
      <w:tr w:rsidR="005A3FF6" w:rsidRPr="005E6BD1" w:rsidTr="005E6E3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Cs/>
                <w:sz w:val="18"/>
                <w:szCs w:val="18"/>
                <w:lang w:eastAsia="es-AR"/>
              </w:rPr>
              <w:t>291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Cs/>
                <w:sz w:val="18"/>
                <w:szCs w:val="18"/>
                <w:lang w:eastAsia="es-AR"/>
              </w:rPr>
              <w:t>Obtener corderos pesados con el genotipo Magrario para agregar valor a la producción de carne ovina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Cs/>
                <w:sz w:val="18"/>
                <w:szCs w:val="18"/>
                <w:lang w:eastAsia="es-AR"/>
              </w:rPr>
              <w:t>Picardi,Liliana Amelia</w:t>
            </w:r>
          </w:p>
        </w:tc>
      </w:tr>
    </w:tbl>
    <w:p w:rsidR="005A3FF6" w:rsidRPr="001B2B94" w:rsidRDefault="005A3FF6" w:rsidP="000C2F45">
      <w:pPr>
        <w:jc w:val="both"/>
        <w:rPr>
          <w:lang w:val="es-ES"/>
        </w:rPr>
      </w:pPr>
    </w:p>
    <w:p w:rsidR="005A3FF6" w:rsidRPr="002B148D" w:rsidRDefault="005A3FF6" w:rsidP="000C2F4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Rechazar  los recursos presentados con los argumentos que se detallan en los Anexos 1 al 17, para los siguientes casos:</w:t>
      </w:r>
    </w:p>
    <w:tbl>
      <w:tblPr>
        <w:tblW w:w="9090" w:type="dxa"/>
        <w:tblInd w:w="-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0"/>
        <w:gridCol w:w="6570"/>
        <w:gridCol w:w="1890"/>
      </w:tblGrid>
      <w:tr w:rsidR="005A3FF6" w:rsidRPr="005E6BD1" w:rsidTr="005E6E3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PDTS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TITULO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b/>
                <w:bCs/>
                <w:sz w:val="18"/>
                <w:szCs w:val="18"/>
                <w:lang w:eastAsia="es-AR"/>
              </w:rPr>
              <w:t>DIRECTOR</w:t>
            </w:r>
          </w:p>
        </w:tc>
      </w:tr>
      <w:tr w:rsidR="005A3FF6" w:rsidRPr="005E6BD1" w:rsidTr="005E6E3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Abastecimiento energético de una casa-tipo en la Patagonia argentina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Rodriguez,Carlos Ramiro</w:t>
            </w:r>
          </w:p>
        </w:tc>
      </w:tr>
      <w:tr w:rsidR="005A3FF6" w:rsidRPr="005E6BD1" w:rsidTr="005E6E3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86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Análisis de las iniciativas de Economía Social y Solidaria en la ciudad de Santa Fe (2010-2014). Desarrollo de un mercado solidario.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Azerrad, María Rut</w:t>
            </w:r>
          </w:p>
        </w:tc>
      </w:tr>
      <w:tr w:rsidR="005A3FF6" w:rsidRPr="005E6BD1" w:rsidTr="005E6E3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93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Desarrollo de kit diagnóstico de leishmaniasis visceral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Deschutter, Jorge Enrique</w:t>
            </w:r>
          </w:p>
        </w:tc>
      </w:tr>
      <w:tr w:rsidR="005A3FF6" w:rsidRPr="005E6BD1" w:rsidTr="005E6E3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110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1B2A7A" w:rsidRDefault="005A3FF6" w:rsidP="001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8"/>
                <w:szCs w:val="18"/>
                <w:lang w:val="es-ES" w:eastAsia="es-ES"/>
              </w:rPr>
            </w:pPr>
            <w:r w:rsidRPr="001B2A7A">
              <w:rPr>
                <w:rFonts w:ascii="Times-Roman" w:hAnsi="Times-Roman" w:cs="Times-Roman"/>
                <w:sz w:val="18"/>
                <w:szCs w:val="18"/>
                <w:lang w:val="es-ES" w:eastAsia="es-ES"/>
              </w:rPr>
              <w:t>Anfibios como centinelas del uso de agroquímicos en los arrozales de la provincia de</w:t>
            </w:r>
          </w:p>
          <w:p w:rsidR="005A3FF6" w:rsidRPr="005E6E34" w:rsidRDefault="005A3FF6" w:rsidP="001B2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1B2A7A">
              <w:rPr>
                <w:rFonts w:ascii="Times-Roman" w:hAnsi="Times-Roman" w:cs="Times-Roman"/>
                <w:sz w:val="18"/>
                <w:szCs w:val="18"/>
                <w:lang w:val="es-ES" w:eastAsia="es-ES"/>
              </w:rPr>
              <w:t>Santa Fe: actividades de extensión y difusión.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1B2A7A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1B2A7A">
              <w:rPr>
                <w:rFonts w:ascii="Times New Roman" w:hAnsi="Times New Roman"/>
                <w:bCs/>
                <w:sz w:val="18"/>
                <w:szCs w:val="18"/>
                <w:lang w:val="es-ES" w:eastAsia="es-ES"/>
              </w:rPr>
              <w:t>A</w:t>
            </w:r>
            <w:r>
              <w:rPr>
                <w:rFonts w:ascii="Times New Roman" w:hAnsi="Times New Roman"/>
                <w:bCs/>
                <w:sz w:val="18"/>
                <w:szCs w:val="18"/>
                <w:lang w:val="es-ES" w:eastAsia="es-ES"/>
              </w:rPr>
              <w:t>ttademo</w:t>
            </w:r>
            <w:r w:rsidRPr="001B2A7A">
              <w:rPr>
                <w:rFonts w:ascii="Times New Roman" w:hAnsi="Times New Roman"/>
                <w:bCs/>
                <w:sz w:val="18"/>
                <w:szCs w:val="18"/>
                <w:lang w:val="es-ES" w:eastAsia="es-ES"/>
              </w:rPr>
              <w:t>, Andrés M</w:t>
            </w:r>
            <w:r>
              <w:rPr>
                <w:rFonts w:ascii="Times New Roman" w:hAnsi="Times New Roman"/>
                <w:bCs/>
                <w:sz w:val="18"/>
                <w:szCs w:val="18"/>
                <w:lang w:val="es-ES" w:eastAsia="es-ES"/>
              </w:rPr>
              <w:t>aximiliano</w:t>
            </w:r>
          </w:p>
        </w:tc>
      </w:tr>
      <w:tr w:rsidR="005A3FF6" w:rsidRPr="005E6BD1" w:rsidTr="005E6E3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127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Caracterización y planeamiento de circuitos innovativos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Levín,Pablo Enrique</w:t>
            </w:r>
          </w:p>
        </w:tc>
      </w:tr>
      <w:tr w:rsidR="005A3FF6" w:rsidRPr="005E6BD1" w:rsidTr="005E6E34">
        <w:trPr>
          <w:trHeight w:val="5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166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Elaboración de mapas de riesgo por contaminación del aire en zonas críticas de la Provincia de Buenos Aires. Desarrollo de indicadores y simulación de escenarios potenciales de riesgo sobre la población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Porta, Atilio Andres</w:t>
            </w:r>
          </w:p>
        </w:tc>
      </w:tr>
      <w:tr w:rsidR="005A3FF6" w:rsidRPr="005E6BD1" w:rsidTr="005E6E34">
        <w:trPr>
          <w:trHeight w:val="4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238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Desarrollo de un modelo de producción de leche innovador destinado a mejorar la calidad de vida de los trabajadores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Baudracco,Javier</w:t>
            </w:r>
          </w:p>
        </w:tc>
      </w:tr>
      <w:tr w:rsidR="005A3FF6" w:rsidRPr="005E6BD1" w:rsidTr="005E6E34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246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INVESTIGACIÓN / ACCIÓN PARA LA URBANIZACIÓN, REGULARIZACIÓN E INTEGRACIÓN SOCIO-TERRITORIAL DE ASENTAMIENTOS INFORMALES Y/O PRECARIOS EN EL MARCO DE LA LEY 14449 DE ACCESO JUSTO AL HÁBITAT EN EL MUNICIPIO DE LANÚS.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Cordara,Christian</w:t>
            </w:r>
          </w:p>
        </w:tc>
      </w:tr>
      <w:tr w:rsidR="005A3FF6" w:rsidRPr="005E6BD1" w:rsidTr="005E6E34">
        <w:trPr>
          <w:trHeight w:val="7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287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Depresión laguna Chasicó-Salinas Chicas: Impacto en los recursos y áreas productivas regionales de los cambios hidroclimatológicos actuales y perspectivas mediante el estudio de las variaciones ocurridas en los últimos 1000 años.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Gómez,Eduardo Alberto</w:t>
            </w:r>
          </w:p>
        </w:tc>
      </w:tr>
      <w:tr w:rsidR="005A3FF6" w:rsidRPr="005E6BD1" w:rsidTr="005E6E3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293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Geoconservación y geoturismo en el Área Provincial Protegida Bosque Petrificado-comunidad de Valcheta, Región Línea Sur de Río Negro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Vejsbjerg, Laila</w:t>
            </w:r>
          </w:p>
        </w:tc>
      </w:tr>
      <w:tr w:rsidR="005A3FF6" w:rsidRPr="005E6BD1" w:rsidTr="005E6E34">
        <w:trPr>
          <w:trHeight w:val="4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Dispositivo Integral de Prácticas Culturales en contextos de encierro de la provincia de Santa Fe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Valdettaro,Sandra Catalina</w:t>
            </w:r>
          </w:p>
        </w:tc>
      </w:tr>
      <w:tr w:rsidR="005A3FF6" w:rsidRPr="005E6BD1" w:rsidTr="005E6E34">
        <w:trPr>
          <w:trHeight w:val="7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332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REUTILIZACIÓN DE RESIDUOS AGROINDUSTRIALES PARA LA PRODUCCIÓN DE CARBONES ACTIVADOS DESTINADOS A LA ADSORCIÓN DE CONTAMINANTES EN MATRICES AMBIENTALES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Odetti,Héctor Santiago</w:t>
            </w:r>
          </w:p>
        </w:tc>
      </w:tr>
      <w:tr w:rsidR="005A3FF6" w:rsidRPr="005E6BD1" w:rsidTr="005E6E34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484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DESARROLLO Y APLICACIÓN TECNOLÓGICA-SOCIAL PARA EL MONITOREO DE LA CALIDAD DEL AGUA Y ESTADO TROFICO DEL EMBALSE RÍO TERCERO (CÓRDOBA), SUS TRIBUTARIOS Y CUENCA DE APORTE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Rodriguez,María Claudia</w:t>
            </w:r>
          </w:p>
        </w:tc>
      </w:tr>
      <w:tr w:rsidR="005A3FF6" w:rsidRPr="005E6BD1" w:rsidTr="005E6E34">
        <w:trPr>
          <w:trHeight w:val="4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499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Desarrollo de alimentos de alto valor nutritivo para grupos vulnerables de zonas de altura de Tucumán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Samman,Norma</w:t>
            </w:r>
          </w:p>
        </w:tc>
      </w:tr>
      <w:tr w:rsidR="005A3FF6" w:rsidRPr="005E6BD1" w:rsidTr="005E6E34">
        <w:trPr>
          <w:trHeight w:val="4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504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BIOSENSOR DE CORTISOL BASADO EN NANOPARTÍCULAS DE ORO RECUBIERTAS DE POLIANILINA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color w:val="000000"/>
                <w:sz w:val="18"/>
                <w:szCs w:val="18"/>
                <w:lang w:eastAsia="es-AR"/>
              </w:rPr>
              <w:t>Vivas,Adriana Beatriz</w:t>
            </w:r>
          </w:p>
        </w:tc>
      </w:tr>
      <w:tr w:rsidR="005A3FF6" w:rsidRPr="005E6BD1" w:rsidTr="005E6E3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544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MEDICIÓN DE FACTORES CLAVE DE CONVIVENCIA Y DESARROLLO SOCIAL en el ámbito de la ciudad de La Plata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Alonso, Aldo Hernán</w:t>
            </w:r>
          </w:p>
        </w:tc>
      </w:tr>
      <w:tr w:rsidR="005A3FF6" w:rsidRPr="005E6BD1" w:rsidTr="005E6E34">
        <w:trPr>
          <w:trHeight w:val="8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076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588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Escuela y Conflictividad como Cuestión Social. Intervenciones pedagógicas e institucionales en las escuelas que posibilitan la promoción de derechos, la participación, los vínculos democráticos entre las generaciones y la resolución pacífica de los conflictos frente a problemáticas complejas de las familias y del contexto.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F6" w:rsidRPr="005E6E34" w:rsidRDefault="005A3FF6" w:rsidP="005E6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AR"/>
              </w:rPr>
            </w:pPr>
            <w:r w:rsidRPr="005E6E34">
              <w:rPr>
                <w:rFonts w:ascii="Times New Roman" w:hAnsi="Times New Roman"/>
                <w:sz w:val="18"/>
                <w:szCs w:val="18"/>
                <w:lang w:eastAsia="es-AR"/>
              </w:rPr>
              <w:t>Arias, Ana Josefina</w:t>
            </w:r>
          </w:p>
        </w:tc>
      </w:tr>
    </w:tbl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No siendo para más, se da por terminada la reunión.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 xml:space="preserve">Ciudad Autónoma de Buenos Aires, 29 de abril de 2015.- 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br w:type="page"/>
      </w:r>
    </w:p>
    <w:p w:rsidR="005A3FF6" w:rsidRDefault="005A3FF6" w:rsidP="000C2F45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>Anexo 1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028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 xml:space="preserve">El recurrente Dr. Carlos Ramiro Rodríguez plantea que “el presente descargo, tiene como objeto aclarar la información probablemente no brindada de manera suficientemente clara, o bien acercar alguna información adicional, no consignada anteriormente…”. Considerando que en esta instancia no corresponde </w:t>
      </w:r>
      <w:bookmarkStart w:id="0" w:name="_GoBack"/>
      <w:bookmarkEnd w:id="0"/>
      <w:r>
        <w:rPr>
          <w:lang w:val="es-ES"/>
        </w:rPr>
        <w:t xml:space="preserve">el agregado de nueva información y 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0C2F45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2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086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 xml:space="preserve">El recurrente Mg. María Rut Azerrad plantea que “el proyecto ha recibido una calificación total de 93 puntos pero solicita la ampliación de la información brindada y la revisión del puntaje otorgado…”. Considerando 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0C2F45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3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093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Dr. Jorge Deschutter  solicita reconsideración en la evaluación de los ítems II, IV, V y VI y adjunta una copia impresa de su CVAR que no coincide con el oportunamente presentado, en tal caso, su análisis implicaría la aceptación de información complementaria.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en esta instancia no corresponde el agregado de nueva información;  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4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110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Dr. Andrés Attademo solicita reconsideración de los puntajes en los ítems IV y V referidos a la relación con los adoptantes. De la lectura de las cartas de compromiso de los adoptantes no se desprende una clara  modalidad de participación.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5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127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Dr. Pablo Enrique Levin solicita reconsideración de los puntajes en todos los ítems por considerar que la disminución de puntajes respecto del máximo no se encuentra justificada.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6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166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Dr. Atilio Andrés Porta solicita “justificación de puntajes en los ítems I y II y en los restantes los evaluadores argumentan que el puntaje asignado se debe a que no se propone resolución para el problema planteado”.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Pr="00BA31E1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7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238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Dr. Javier Baudracco solicita una nueva evaluación del proyecto por investigadores relacionados a la problemática abordada.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Pr="00BA31E1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8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</w:t>
      </w:r>
      <w:r w:rsidRPr="00BA31E1">
        <w:rPr>
          <w:b/>
          <w:sz w:val="24"/>
          <w:szCs w:val="24"/>
          <w:u w:val="single"/>
          <w:lang w:val="es-ES"/>
        </w:rPr>
        <w:t>men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246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Arq. Christian Cordara Pur solicita reconsideración a la evaluación.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Pr="00BA31E1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9 – Dicta</w:t>
      </w:r>
      <w:r w:rsidRPr="00BA31E1">
        <w:rPr>
          <w:b/>
          <w:sz w:val="24"/>
          <w:szCs w:val="24"/>
          <w:u w:val="single"/>
          <w:lang w:val="es-ES"/>
        </w:rPr>
        <w:t>men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287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El recurrente Dr. Eduardo Alberto Gómez reclama que la fundamentación dada por los evaluadores en varios puntos sugiere la no comprensión cabal de la propuesta.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10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</w:t>
      </w:r>
      <w:r w:rsidRPr="00BA31E1">
        <w:rPr>
          <w:b/>
          <w:sz w:val="24"/>
          <w:szCs w:val="24"/>
          <w:u w:val="single"/>
          <w:lang w:val="es-ES"/>
        </w:rPr>
        <w:t>men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293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La recurrente Dra. Layla Vejsbjerg solicita reconsideración a la evaluación fundamentando el pedido en la dificultad que ofrece una evaluación integral de un proyecto de investigación sustentado en la interdisciplinariedad y que a su vez propone la aplicación en el corto plazo.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>
      <w:pPr>
        <w:rPr>
          <w:lang w:val="es-ES"/>
        </w:rPr>
      </w:pPr>
      <w:r>
        <w:rPr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11 – Dicta</w:t>
      </w:r>
      <w:r w:rsidRPr="00BA31E1">
        <w:rPr>
          <w:b/>
          <w:sz w:val="24"/>
          <w:szCs w:val="24"/>
          <w:u w:val="single"/>
          <w:lang w:val="es-ES"/>
        </w:rPr>
        <w:t>m</w:t>
      </w:r>
      <w:r>
        <w:rPr>
          <w:b/>
          <w:sz w:val="24"/>
          <w:szCs w:val="24"/>
          <w:u w:val="single"/>
          <w:lang w:val="es-ES"/>
        </w:rPr>
        <w:t>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0C2F45">
      <w:pPr>
        <w:jc w:val="both"/>
        <w:rPr>
          <w:lang w:val="es-ES"/>
        </w:rPr>
      </w:pP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>PDTS Nº 318</w:t>
      </w:r>
    </w:p>
    <w:p w:rsidR="005A3FF6" w:rsidRDefault="005A3FF6" w:rsidP="000C2F45">
      <w:pPr>
        <w:jc w:val="both"/>
        <w:rPr>
          <w:lang w:val="es-ES"/>
        </w:rPr>
      </w:pPr>
      <w:r>
        <w:rPr>
          <w:lang w:val="es-ES"/>
        </w:rPr>
        <w:t xml:space="preserve">La recurrente Dra. Sandra Catalina Valdettaro plantea objeciones a la evaluación de los ítems II, IV y VI. En relación a la composición del equipo de trabajo agrega información de los </w:t>
      </w:r>
      <w:r w:rsidRPr="0076696A">
        <w:rPr>
          <w:i/>
          <w:lang w:val="es-ES"/>
        </w:rPr>
        <w:t>curriculum vitae</w:t>
      </w:r>
      <w:r>
        <w:rPr>
          <w:lang w:val="es-ES"/>
        </w:rPr>
        <w:t xml:space="preserve"> de integrantes del grupo colaborador, cuyo análisis implicaría la aceptación de incorporación extemporánea de información.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76696A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12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76696A">
      <w:pPr>
        <w:jc w:val="both"/>
        <w:rPr>
          <w:lang w:val="es-ES"/>
        </w:rPr>
      </w:pPr>
    </w:p>
    <w:p w:rsidR="005A3FF6" w:rsidRDefault="005A3FF6" w:rsidP="0076696A">
      <w:pPr>
        <w:jc w:val="both"/>
        <w:rPr>
          <w:lang w:val="es-ES"/>
        </w:rPr>
      </w:pPr>
      <w:r>
        <w:rPr>
          <w:lang w:val="es-ES"/>
        </w:rPr>
        <w:t>PDTS Nº 332</w:t>
      </w:r>
    </w:p>
    <w:p w:rsidR="005A3FF6" w:rsidRDefault="005A3FF6" w:rsidP="0076696A">
      <w:pPr>
        <w:jc w:val="both"/>
        <w:rPr>
          <w:lang w:val="es-ES"/>
        </w:rPr>
      </w:pPr>
      <w:r>
        <w:rPr>
          <w:lang w:val="es-ES"/>
        </w:rPr>
        <w:t>El recurrente Dr. Héctor Santiago Odetti aduce que en el “Art. 18 del Reglamento PDTS CIN-CONICET no se especifica que uno de los criterios a seguir el rechazo de un proyecto sea el explicitado en la evaluación del proyecto antes mencionado, a saber: Considere que serán rechazados aquellos proyectos que alcancen un puntaje inferior a 60 por ciento en cualquiera de los ítems”, se informa que dicho criterio se encuentra explicitado en el Formulario de Evaluación que figura como Anexo 3 de la Resolución de Comité Ejecutivo CIN 1003/14.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Pr="004C58FD" w:rsidRDefault="005A3FF6" w:rsidP="0076696A">
      <w:pPr>
        <w:jc w:val="both"/>
        <w:rPr>
          <w:lang w:val="es-ES"/>
        </w:rPr>
      </w:pPr>
    </w:p>
    <w:p w:rsidR="005A3FF6" w:rsidRDefault="005A3FF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48051F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13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48051F">
      <w:pPr>
        <w:jc w:val="both"/>
        <w:rPr>
          <w:lang w:val="es-ES"/>
        </w:rPr>
      </w:pPr>
    </w:p>
    <w:p w:rsidR="005A3FF6" w:rsidRDefault="005A3FF6" w:rsidP="00A85DFA">
      <w:pPr>
        <w:jc w:val="both"/>
        <w:rPr>
          <w:lang w:val="es-ES"/>
        </w:rPr>
      </w:pPr>
      <w:r>
        <w:rPr>
          <w:lang w:val="es-ES"/>
        </w:rPr>
        <w:t>PDTS Nº 484</w:t>
      </w:r>
    </w:p>
    <w:p w:rsidR="005A3FF6" w:rsidRDefault="005A3FF6" w:rsidP="00A85DFA">
      <w:pPr>
        <w:jc w:val="both"/>
        <w:rPr>
          <w:lang w:val="es-ES"/>
        </w:rPr>
      </w:pPr>
      <w:r>
        <w:rPr>
          <w:lang w:val="es-ES"/>
        </w:rPr>
        <w:t>La recurrente Dra. María Claudia Rodríguez considera que algunos ítems de la evaluación han sido subvalorados, objeta la valoración de los ítems I, III, IV, V y VI y en el caso del ítem III agrega información adicional que no puede ser tenida en cuenta por ser extemporánea.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6A7EC2">
      <w:pPr>
        <w:jc w:val="center"/>
        <w:rPr>
          <w:b/>
          <w:sz w:val="24"/>
          <w:szCs w:val="24"/>
          <w:u w:val="single"/>
          <w:lang w:val="es-ES"/>
        </w:rPr>
      </w:pPr>
    </w:p>
    <w:p w:rsidR="005A3FF6" w:rsidRDefault="005A3FF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6A7EC2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14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A85DFA">
      <w:pPr>
        <w:jc w:val="both"/>
        <w:rPr>
          <w:lang w:val="es-ES"/>
        </w:rPr>
      </w:pPr>
    </w:p>
    <w:p w:rsidR="005A3FF6" w:rsidRDefault="005A3FF6" w:rsidP="00A85DFA">
      <w:pPr>
        <w:jc w:val="both"/>
        <w:rPr>
          <w:lang w:val="es-ES"/>
        </w:rPr>
      </w:pPr>
      <w:r>
        <w:rPr>
          <w:lang w:val="es-ES"/>
        </w:rPr>
        <w:t>PDTS Nº 499</w:t>
      </w:r>
    </w:p>
    <w:p w:rsidR="005A3FF6" w:rsidRDefault="005A3FF6" w:rsidP="00A85DFA">
      <w:pPr>
        <w:jc w:val="both"/>
        <w:rPr>
          <w:lang w:val="es-ES"/>
        </w:rPr>
      </w:pPr>
      <w:r>
        <w:rPr>
          <w:lang w:val="es-ES"/>
        </w:rPr>
        <w:t>La recurrente Dra. Norma Samman reclama el puntaje de la evaluación del proyecto en los ítems I y III. Aporta nuevas aclaraciones de la metodología y de los destinatarios del proyecto, las que no pueden ser tomadas en cuenta por ser extemporáneas.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 w:rsidP="006A7EC2">
      <w:pPr>
        <w:jc w:val="both"/>
        <w:rPr>
          <w:lang w:val="es-ES"/>
        </w:rPr>
      </w:pPr>
    </w:p>
    <w:p w:rsidR="005A3FF6" w:rsidRPr="004C58FD" w:rsidRDefault="005A3FF6" w:rsidP="006A7EC2">
      <w:pPr>
        <w:jc w:val="both"/>
        <w:rPr>
          <w:lang w:val="es-ES"/>
        </w:rPr>
      </w:pPr>
    </w:p>
    <w:p w:rsidR="005A3FF6" w:rsidRDefault="005A3FF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F31604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15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F31604">
      <w:pPr>
        <w:jc w:val="both"/>
        <w:rPr>
          <w:lang w:val="es-ES"/>
        </w:rPr>
      </w:pPr>
    </w:p>
    <w:p w:rsidR="005A3FF6" w:rsidRDefault="005A3FF6" w:rsidP="00F31604">
      <w:pPr>
        <w:jc w:val="both"/>
        <w:rPr>
          <w:lang w:val="es-ES"/>
        </w:rPr>
      </w:pPr>
      <w:r>
        <w:rPr>
          <w:lang w:val="es-ES"/>
        </w:rPr>
        <w:t>PDTS Nº 504</w:t>
      </w:r>
    </w:p>
    <w:p w:rsidR="005A3FF6" w:rsidRDefault="005A3FF6" w:rsidP="00F31604">
      <w:pPr>
        <w:jc w:val="both"/>
        <w:rPr>
          <w:lang w:val="es-ES"/>
        </w:rPr>
      </w:pPr>
      <w:r>
        <w:rPr>
          <w:lang w:val="es-ES"/>
        </w:rPr>
        <w:t>La recurrente Dra. Adriana Beatriz Vivas solicita reconsideración en el ítem IV, adjuntando un detalle del mecanismo de adopción y escalamiento comercial y cartas de los posibles adoptantes, lo que no puede ser tomado en cuenta porque constituye agregado extemporáneo de documentación.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Pr="004C58FD" w:rsidRDefault="005A3FF6" w:rsidP="00F31604">
      <w:pPr>
        <w:jc w:val="both"/>
        <w:rPr>
          <w:lang w:val="es-ES"/>
        </w:rPr>
      </w:pPr>
    </w:p>
    <w:p w:rsidR="005A3FF6" w:rsidRDefault="005A3FF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F31604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16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F31604">
      <w:pPr>
        <w:jc w:val="both"/>
        <w:rPr>
          <w:lang w:val="es-ES"/>
        </w:rPr>
      </w:pPr>
    </w:p>
    <w:p w:rsidR="005A3FF6" w:rsidRDefault="005A3FF6" w:rsidP="00F31604">
      <w:pPr>
        <w:jc w:val="both"/>
        <w:rPr>
          <w:lang w:val="es-ES"/>
        </w:rPr>
      </w:pPr>
      <w:r>
        <w:rPr>
          <w:lang w:val="es-ES"/>
        </w:rPr>
        <w:t>PDTS Nº 544</w:t>
      </w:r>
    </w:p>
    <w:p w:rsidR="005A3FF6" w:rsidRDefault="005A3FF6" w:rsidP="00F31604">
      <w:pPr>
        <w:jc w:val="both"/>
        <w:rPr>
          <w:lang w:val="es-ES"/>
        </w:rPr>
      </w:pPr>
      <w:r>
        <w:rPr>
          <w:lang w:val="es-ES"/>
        </w:rPr>
        <w:t>El recurrente Dr. Aldo Hernán Alonso reconoce la omisión en la presentación de aspectos considerados relevantes y que adiciona en esta oportunidad, posibilitan una mejor apreciación del proyecto por lo que solicita una revisión de la decisión adoptada. Acceder a lo solicitado implica efectuar un análisis de información adicional cuya presentación es extemporánea y no está prevista en la presente convocatoria.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Default="005A3FF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5A3FF6" w:rsidRDefault="005A3FF6" w:rsidP="006C51E5">
      <w:pPr>
        <w:jc w:val="center"/>
        <w:rPr>
          <w:b/>
          <w:sz w:val="24"/>
          <w:szCs w:val="24"/>
          <w:u w:val="single"/>
          <w:lang w:val="es-ES"/>
        </w:rPr>
      </w:pPr>
      <w:r w:rsidRPr="00BA31E1">
        <w:rPr>
          <w:b/>
          <w:sz w:val="24"/>
          <w:szCs w:val="24"/>
          <w:u w:val="single"/>
          <w:lang w:val="es-ES"/>
        </w:rPr>
        <w:t xml:space="preserve">Anexo </w:t>
      </w:r>
      <w:r>
        <w:rPr>
          <w:b/>
          <w:sz w:val="24"/>
          <w:szCs w:val="24"/>
          <w:u w:val="single"/>
          <w:lang w:val="es-ES"/>
        </w:rPr>
        <w:t>17</w:t>
      </w:r>
      <w:r w:rsidRPr="00BA31E1">
        <w:rPr>
          <w:b/>
          <w:sz w:val="24"/>
          <w:szCs w:val="24"/>
          <w:u w:val="single"/>
          <w:lang w:val="es-ES"/>
        </w:rPr>
        <w:t xml:space="preserve"> – Dict</w:t>
      </w:r>
      <w:r>
        <w:rPr>
          <w:b/>
          <w:sz w:val="24"/>
          <w:szCs w:val="24"/>
          <w:u w:val="single"/>
          <w:lang w:val="es-ES"/>
        </w:rPr>
        <w:t>amen</w:t>
      </w:r>
      <w:r w:rsidRPr="00BA31E1">
        <w:rPr>
          <w:b/>
          <w:sz w:val="24"/>
          <w:szCs w:val="24"/>
          <w:u w:val="single"/>
          <w:lang w:val="es-ES"/>
        </w:rPr>
        <w:t xml:space="preserve"> de Comisión Ad-Hoc</w:t>
      </w:r>
    </w:p>
    <w:p w:rsidR="005A3FF6" w:rsidRDefault="005A3FF6" w:rsidP="006C51E5">
      <w:pPr>
        <w:jc w:val="both"/>
        <w:rPr>
          <w:lang w:val="es-ES"/>
        </w:rPr>
      </w:pPr>
    </w:p>
    <w:p w:rsidR="005A3FF6" w:rsidRDefault="005A3FF6" w:rsidP="006C51E5">
      <w:pPr>
        <w:jc w:val="both"/>
        <w:rPr>
          <w:lang w:val="es-ES"/>
        </w:rPr>
      </w:pPr>
      <w:r>
        <w:rPr>
          <w:lang w:val="es-ES"/>
        </w:rPr>
        <w:t>PDTS Nº 588</w:t>
      </w:r>
    </w:p>
    <w:p w:rsidR="005A3FF6" w:rsidRDefault="005A3FF6" w:rsidP="006C51E5">
      <w:pPr>
        <w:jc w:val="both"/>
        <w:rPr>
          <w:lang w:val="es-ES"/>
        </w:rPr>
      </w:pPr>
      <w:r>
        <w:rPr>
          <w:lang w:val="es-ES"/>
        </w:rPr>
        <w:t>La recurrente Dra. Ana Josefina Arias, argumenta que la idea proyecto con los mismos objetivos y metodología de trabajo ya había sido pre-aprobada y en cuanto al proyecto considera que la evaluación realizada a cada uno de los ítems es poco pertinente y se encuentra poco justificada. Se informa a la recurrente que en la etapa IP no se realizó una evaluación sino solamente una selección de aquellas que podrían considerarse una propuesta de Proyecto de Desarrollo Tecnológico y Social, lo que habilitó al paso a la siguiente etapa de presentación de proyectos, los que si son sometidos a un proceso de evaluación por Comité Evaluador. Considerando</w:t>
      </w:r>
      <w:r w:rsidRPr="00C33679">
        <w:rPr>
          <w:lang w:val="es-ES"/>
        </w:rPr>
        <w:t xml:space="preserve"> </w:t>
      </w:r>
      <w:r>
        <w:rPr>
          <w:lang w:val="es-ES"/>
        </w:rPr>
        <w:t xml:space="preserve">que el acta de evaluación no adolece de defectos de forma; y está debidamente justificada la asignación de puntaje en cada ítem, esta Comisión Ad-Hoc aconseja no hacer lugar al recurso presentado. </w:t>
      </w:r>
    </w:p>
    <w:p w:rsidR="005A3FF6" w:rsidRPr="004C58FD" w:rsidRDefault="005A3FF6" w:rsidP="000C2F45">
      <w:pPr>
        <w:jc w:val="both"/>
        <w:rPr>
          <w:lang w:val="es-ES"/>
        </w:rPr>
      </w:pPr>
    </w:p>
    <w:sectPr w:rsidR="005A3FF6" w:rsidRPr="004C58FD" w:rsidSect="00C87A3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F6" w:rsidRDefault="005A3FF6" w:rsidP="007516B0">
      <w:pPr>
        <w:spacing w:after="0" w:line="240" w:lineRule="auto"/>
      </w:pPr>
      <w:r>
        <w:separator/>
      </w:r>
    </w:p>
  </w:endnote>
  <w:endnote w:type="continuationSeparator" w:id="0">
    <w:p w:rsidR="005A3FF6" w:rsidRDefault="005A3FF6" w:rsidP="0075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F6" w:rsidRDefault="005A3FF6">
    <w:pPr>
      <w:pStyle w:val="Footer"/>
      <w:jc w:val="center"/>
    </w:pPr>
    <w:fldSimple w:instr=" PAGE   \* MERGEFORMAT ">
      <w:r>
        <w:rPr>
          <w:noProof/>
        </w:rPr>
        <w:t>22</w:t>
      </w:r>
    </w:fldSimple>
  </w:p>
  <w:p w:rsidR="005A3FF6" w:rsidRDefault="005A3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F6" w:rsidRDefault="005A3FF6" w:rsidP="007516B0">
      <w:pPr>
        <w:spacing w:after="0" w:line="240" w:lineRule="auto"/>
      </w:pPr>
      <w:r>
        <w:separator/>
      </w:r>
    </w:p>
  </w:footnote>
  <w:footnote w:type="continuationSeparator" w:id="0">
    <w:p w:rsidR="005A3FF6" w:rsidRDefault="005A3FF6" w:rsidP="0075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F6A"/>
    <w:multiLevelType w:val="hybridMultilevel"/>
    <w:tmpl w:val="D628639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73E75"/>
    <w:multiLevelType w:val="hybridMultilevel"/>
    <w:tmpl w:val="5816D0BA"/>
    <w:lvl w:ilvl="0" w:tplc="B784DF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A7D94"/>
    <w:multiLevelType w:val="hybridMultilevel"/>
    <w:tmpl w:val="7974F57A"/>
    <w:lvl w:ilvl="0" w:tplc="756654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8FD"/>
    <w:rsid w:val="00003FF4"/>
    <w:rsid w:val="00007C0D"/>
    <w:rsid w:val="000257AA"/>
    <w:rsid w:val="00057A72"/>
    <w:rsid w:val="000767C0"/>
    <w:rsid w:val="00087946"/>
    <w:rsid w:val="00095003"/>
    <w:rsid w:val="000B66D2"/>
    <w:rsid w:val="000C2F45"/>
    <w:rsid w:val="000C506B"/>
    <w:rsid w:val="000D40AD"/>
    <w:rsid w:val="000D6D96"/>
    <w:rsid w:val="000E2650"/>
    <w:rsid w:val="000E523F"/>
    <w:rsid w:val="000F56DF"/>
    <w:rsid w:val="000F580D"/>
    <w:rsid w:val="001344F1"/>
    <w:rsid w:val="00166E24"/>
    <w:rsid w:val="00170AE6"/>
    <w:rsid w:val="00171446"/>
    <w:rsid w:val="0018400A"/>
    <w:rsid w:val="001843E5"/>
    <w:rsid w:val="001B2A7A"/>
    <w:rsid w:val="001B2B94"/>
    <w:rsid w:val="001E5A59"/>
    <w:rsid w:val="00217977"/>
    <w:rsid w:val="00257F15"/>
    <w:rsid w:val="00264F2B"/>
    <w:rsid w:val="00292F2E"/>
    <w:rsid w:val="0029369F"/>
    <w:rsid w:val="002A3EFA"/>
    <w:rsid w:val="002B148D"/>
    <w:rsid w:val="002B20D6"/>
    <w:rsid w:val="002C7952"/>
    <w:rsid w:val="003333EA"/>
    <w:rsid w:val="0036333F"/>
    <w:rsid w:val="00377FCB"/>
    <w:rsid w:val="00380DF0"/>
    <w:rsid w:val="00384030"/>
    <w:rsid w:val="0038535C"/>
    <w:rsid w:val="003A20BF"/>
    <w:rsid w:val="003B3337"/>
    <w:rsid w:val="003B466A"/>
    <w:rsid w:val="003B6B25"/>
    <w:rsid w:val="00402E2C"/>
    <w:rsid w:val="004058D6"/>
    <w:rsid w:val="00432609"/>
    <w:rsid w:val="004473F4"/>
    <w:rsid w:val="00461835"/>
    <w:rsid w:val="00476738"/>
    <w:rsid w:val="0048051F"/>
    <w:rsid w:val="00486E33"/>
    <w:rsid w:val="00487066"/>
    <w:rsid w:val="004C58FD"/>
    <w:rsid w:val="004F4775"/>
    <w:rsid w:val="0051020C"/>
    <w:rsid w:val="00525AE8"/>
    <w:rsid w:val="005A3FF6"/>
    <w:rsid w:val="005B6899"/>
    <w:rsid w:val="005E6BD1"/>
    <w:rsid w:val="005E6E34"/>
    <w:rsid w:val="00605C2A"/>
    <w:rsid w:val="006312E5"/>
    <w:rsid w:val="00632D31"/>
    <w:rsid w:val="00643967"/>
    <w:rsid w:val="006635D3"/>
    <w:rsid w:val="00690E5F"/>
    <w:rsid w:val="006A7EC2"/>
    <w:rsid w:val="006C51E5"/>
    <w:rsid w:val="006E6496"/>
    <w:rsid w:val="00726286"/>
    <w:rsid w:val="007478EB"/>
    <w:rsid w:val="007507AE"/>
    <w:rsid w:val="007516B0"/>
    <w:rsid w:val="00754E87"/>
    <w:rsid w:val="00761F8D"/>
    <w:rsid w:val="0076696A"/>
    <w:rsid w:val="007766A8"/>
    <w:rsid w:val="00785D5D"/>
    <w:rsid w:val="007E756D"/>
    <w:rsid w:val="00826080"/>
    <w:rsid w:val="00836465"/>
    <w:rsid w:val="00870D8C"/>
    <w:rsid w:val="008771F7"/>
    <w:rsid w:val="008C0396"/>
    <w:rsid w:val="00913E63"/>
    <w:rsid w:val="00916B47"/>
    <w:rsid w:val="009240D0"/>
    <w:rsid w:val="00933E6C"/>
    <w:rsid w:val="00955B0C"/>
    <w:rsid w:val="00960D13"/>
    <w:rsid w:val="00982482"/>
    <w:rsid w:val="00987D84"/>
    <w:rsid w:val="009B149D"/>
    <w:rsid w:val="009D1B7B"/>
    <w:rsid w:val="009D6A07"/>
    <w:rsid w:val="009F6BE8"/>
    <w:rsid w:val="00A46604"/>
    <w:rsid w:val="00A46C0E"/>
    <w:rsid w:val="00A46CED"/>
    <w:rsid w:val="00A81BFD"/>
    <w:rsid w:val="00A85DFA"/>
    <w:rsid w:val="00A95560"/>
    <w:rsid w:val="00AB3FDF"/>
    <w:rsid w:val="00AD3B52"/>
    <w:rsid w:val="00B07B6B"/>
    <w:rsid w:val="00B40053"/>
    <w:rsid w:val="00B4631C"/>
    <w:rsid w:val="00B60126"/>
    <w:rsid w:val="00B7371D"/>
    <w:rsid w:val="00B9290A"/>
    <w:rsid w:val="00BA31E1"/>
    <w:rsid w:val="00BE18A2"/>
    <w:rsid w:val="00BE5C2F"/>
    <w:rsid w:val="00BE671D"/>
    <w:rsid w:val="00BF370F"/>
    <w:rsid w:val="00C03455"/>
    <w:rsid w:val="00C10601"/>
    <w:rsid w:val="00C15D5C"/>
    <w:rsid w:val="00C21E64"/>
    <w:rsid w:val="00C33679"/>
    <w:rsid w:val="00C56420"/>
    <w:rsid w:val="00C67EE2"/>
    <w:rsid w:val="00C87A3B"/>
    <w:rsid w:val="00CB367C"/>
    <w:rsid w:val="00CB5593"/>
    <w:rsid w:val="00CF584E"/>
    <w:rsid w:val="00D2392C"/>
    <w:rsid w:val="00D4406E"/>
    <w:rsid w:val="00D533E8"/>
    <w:rsid w:val="00D94E20"/>
    <w:rsid w:val="00DC5D77"/>
    <w:rsid w:val="00DC7941"/>
    <w:rsid w:val="00DD5518"/>
    <w:rsid w:val="00DE3868"/>
    <w:rsid w:val="00DE3D1F"/>
    <w:rsid w:val="00E1514A"/>
    <w:rsid w:val="00E31F28"/>
    <w:rsid w:val="00E368F4"/>
    <w:rsid w:val="00E97128"/>
    <w:rsid w:val="00EC0784"/>
    <w:rsid w:val="00ED0F87"/>
    <w:rsid w:val="00EE027F"/>
    <w:rsid w:val="00EE6048"/>
    <w:rsid w:val="00F0147F"/>
    <w:rsid w:val="00F16838"/>
    <w:rsid w:val="00F31604"/>
    <w:rsid w:val="00F41AA3"/>
    <w:rsid w:val="00F42109"/>
    <w:rsid w:val="00F45E41"/>
    <w:rsid w:val="00F91C4D"/>
    <w:rsid w:val="00FC0882"/>
    <w:rsid w:val="00FD1AEA"/>
    <w:rsid w:val="00FE6E0F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3B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8D6"/>
    <w:pPr>
      <w:ind w:left="720"/>
      <w:contextualSpacing/>
    </w:pPr>
  </w:style>
  <w:style w:type="table" w:styleId="TableGrid">
    <w:name w:val="Table Grid"/>
    <w:basedOn w:val="TableNormal"/>
    <w:uiPriority w:val="99"/>
    <w:rsid w:val="008C03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6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3248</Words>
  <Characters>17867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DESARROLLO TECNOLÓGICO Y SOCIAL-CONVOCATORIA  CIN-CONICET 2014</dc:title>
  <dc:subject/>
  <dc:creator>Silvia Mazza</dc:creator>
  <cp:keywords/>
  <dc:description/>
  <cp:lastModifiedBy>Aníbal Saralegui</cp:lastModifiedBy>
  <cp:revision>2</cp:revision>
  <cp:lastPrinted>2015-05-28T15:09:00Z</cp:lastPrinted>
  <dcterms:created xsi:type="dcterms:W3CDTF">2015-07-29T18:51:00Z</dcterms:created>
  <dcterms:modified xsi:type="dcterms:W3CDTF">2015-07-29T18:51:00Z</dcterms:modified>
</cp:coreProperties>
</file>