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F1B" w:rsidRDefault="00604F1B" w:rsidP="00735A36">
      <w:pPr>
        <w:spacing w:before="100" w:beforeAutospacing="1" w:after="100" w:afterAutospacing="1" w:line="240" w:lineRule="auto"/>
        <w:jc w:val="center"/>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59.25pt">
            <v:imagedata r:id="rId7" o:title=""/>
          </v:shape>
        </w:pict>
      </w:r>
    </w:p>
    <w:p w:rsidR="00604F1B" w:rsidRDefault="00604F1B" w:rsidP="00735A36">
      <w:pPr>
        <w:spacing w:before="100" w:beforeAutospacing="1" w:after="100" w:afterAutospacing="1" w:line="240" w:lineRule="auto"/>
        <w:jc w:val="center"/>
        <w:rPr>
          <w:sz w:val="28"/>
          <w:szCs w:val="28"/>
        </w:rPr>
      </w:pPr>
    </w:p>
    <w:p w:rsidR="00604F1B" w:rsidRDefault="00604F1B" w:rsidP="00735A36">
      <w:pPr>
        <w:spacing w:before="100" w:beforeAutospacing="1" w:after="100" w:afterAutospacing="1" w:line="240" w:lineRule="auto"/>
        <w:jc w:val="center"/>
        <w:rPr>
          <w:sz w:val="28"/>
          <w:szCs w:val="28"/>
        </w:rPr>
      </w:pPr>
    </w:p>
    <w:p w:rsidR="00604F1B" w:rsidRDefault="00604F1B" w:rsidP="00735A36">
      <w:pPr>
        <w:spacing w:before="100" w:beforeAutospacing="1" w:after="100" w:afterAutospacing="1" w:line="240" w:lineRule="auto"/>
        <w:jc w:val="center"/>
        <w:rPr>
          <w:sz w:val="28"/>
          <w:szCs w:val="28"/>
        </w:rPr>
      </w:pPr>
    </w:p>
    <w:p w:rsidR="00604F1B" w:rsidRDefault="00604F1B" w:rsidP="00735A36">
      <w:pPr>
        <w:spacing w:before="100" w:beforeAutospacing="1" w:after="100" w:afterAutospacing="1" w:line="240" w:lineRule="auto"/>
        <w:jc w:val="center"/>
        <w:rPr>
          <w:sz w:val="28"/>
          <w:szCs w:val="28"/>
        </w:rPr>
      </w:pPr>
    </w:p>
    <w:p w:rsidR="00604F1B" w:rsidRDefault="00604F1B" w:rsidP="00735A36">
      <w:pPr>
        <w:spacing w:before="100" w:beforeAutospacing="1" w:after="100" w:afterAutospacing="1" w:line="240" w:lineRule="auto"/>
        <w:jc w:val="center"/>
        <w:rPr>
          <w:b/>
          <w:bCs/>
          <w:sz w:val="28"/>
          <w:szCs w:val="28"/>
        </w:rPr>
      </w:pPr>
      <w:r w:rsidRPr="00204588">
        <w:rPr>
          <w:b/>
          <w:bCs/>
          <w:sz w:val="28"/>
          <w:szCs w:val="28"/>
        </w:rPr>
        <w:t>CURSO DE PREPARACIÓN UNIVERSITARIA</w:t>
      </w:r>
    </w:p>
    <w:p w:rsidR="00604F1B" w:rsidRPr="00204588" w:rsidRDefault="00604F1B" w:rsidP="00735A36">
      <w:pPr>
        <w:spacing w:before="100" w:beforeAutospacing="1" w:after="100" w:afterAutospacing="1" w:line="240" w:lineRule="auto"/>
        <w:jc w:val="center"/>
        <w:rPr>
          <w:b/>
          <w:bCs/>
          <w:sz w:val="28"/>
          <w:szCs w:val="28"/>
        </w:rPr>
      </w:pPr>
      <w:r w:rsidRPr="00204588">
        <w:rPr>
          <w:b/>
          <w:bCs/>
          <w:sz w:val="28"/>
          <w:szCs w:val="28"/>
        </w:rPr>
        <w:t xml:space="preserve"> CPU</w:t>
      </w:r>
      <w:r>
        <w:rPr>
          <w:b/>
          <w:bCs/>
          <w:sz w:val="28"/>
          <w:szCs w:val="28"/>
        </w:rPr>
        <w:t xml:space="preserve"> </w:t>
      </w:r>
      <w:r w:rsidRPr="00204588">
        <w:rPr>
          <w:b/>
          <w:bCs/>
          <w:sz w:val="28"/>
          <w:szCs w:val="28"/>
        </w:rPr>
        <w:t>- UNSAM</w:t>
      </w:r>
    </w:p>
    <w:p w:rsidR="00604F1B" w:rsidRPr="00B93030" w:rsidRDefault="00604F1B" w:rsidP="00EC6647">
      <w:pPr>
        <w:spacing w:before="100" w:beforeAutospacing="1" w:after="100" w:afterAutospacing="1" w:line="240" w:lineRule="auto"/>
        <w:jc w:val="both"/>
      </w:pPr>
    </w:p>
    <w:p w:rsidR="00604F1B" w:rsidRPr="00B93030" w:rsidRDefault="00604F1B" w:rsidP="00EC6647">
      <w:pPr>
        <w:spacing w:line="240" w:lineRule="auto"/>
        <w:jc w:val="both"/>
        <w:rPr>
          <w:vanish/>
        </w:rPr>
      </w:pPr>
      <w:r w:rsidRPr="00B93030">
        <w:br w:type="page"/>
      </w:r>
      <w:r w:rsidRPr="00B93030">
        <w:rPr>
          <w:vanish/>
        </w:rPr>
        <w:t xml:space="preserve"> </w:t>
      </w:r>
    </w:p>
    <w:p w:rsidR="00604F1B" w:rsidRDefault="00604F1B" w:rsidP="00EC6647">
      <w:pPr>
        <w:pStyle w:val="Title"/>
        <w:spacing w:line="240" w:lineRule="auto"/>
        <w:jc w:val="both"/>
        <w:rPr>
          <w:rFonts w:ascii="Calibri" w:hAnsi="Calibri" w:cs="Calibri"/>
        </w:rPr>
      </w:pPr>
      <w:r w:rsidRPr="00B93030">
        <w:rPr>
          <w:rFonts w:ascii="Calibri" w:hAnsi="Calibri" w:cs="Calibri"/>
        </w:rPr>
        <w:t>D</w:t>
      </w:r>
      <w:r>
        <w:rPr>
          <w:rFonts w:ascii="Calibri" w:hAnsi="Calibri" w:cs="Calibri"/>
        </w:rPr>
        <w:t>escripción del C.P.U. UNSAM</w:t>
      </w:r>
    </w:p>
    <w:p w:rsidR="00604F1B" w:rsidRPr="00B93030" w:rsidRDefault="00604F1B" w:rsidP="00EC6647">
      <w:pPr>
        <w:pStyle w:val="Title"/>
        <w:spacing w:line="240" w:lineRule="auto"/>
        <w:jc w:val="both"/>
        <w:rPr>
          <w:rFonts w:ascii="Calibri" w:hAnsi="Calibri" w:cs="Calibri"/>
        </w:rPr>
      </w:pPr>
    </w:p>
    <w:tbl>
      <w:tblPr>
        <w:tblpPr w:leftFromText="141" w:rightFromText="141" w:vertAnchor="page" w:horzAnchor="margin" w:tblpXSpec="center" w:tblpY="3241"/>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48"/>
        <w:gridCol w:w="1200"/>
        <w:gridCol w:w="1440"/>
        <w:gridCol w:w="1440"/>
        <w:gridCol w:w="1440"/>
        <w:gridCol w:w="1572"/>
        <w:gridCol w:w="1620"/>
      </w:tblGrid>
      <w:tr w:rsidR="00604F1B" w:rsidRPr="005545F4">
        <w:tc>
          <w:tcPr>
            <w:tcW w:w="1548" w:type="dxa"/>
          </w:tcPr>
          <w:p w:rsidR="00604F1B" w:rsidRPr="005545F4" w:rsidRDefault="00604F1B" w:rsidP="009133B2">
            <w:pPr>
              <w:spacing w:after="0" w:line="240" w:lineRule="auto"/>
              <w:jc w:val="center"/>
            </w:pPr>
            <w:r w:rsidRPr="005545F4">
              <w:t>Ubicación</w:t>
            </w:r>
          </w:p>
        </w:tc>
        <w:tc>
          <w:tcPr>
            <w:tcW w:w="1200" w:type="dxa"/>
          </w:tcPr>
          <w:p w:rsidR="00604F1B" w:rsidRPr="005545F4" w:rsidRDefault="00604F1B" w:rsidP="009133B2">
            <w:pPr>
              <w:spacing w:after="0" w:line="240" w:lineRule="auto"/>
              <w:jc w:val="center"/>
            </w:pPr>
            <w:r w:rsidRPr="005545F4">
              <w:t>Currícula</w:t>
            </w:r>
          </w:p>
        </w:tc>
        <w:tc>
          <w:tcPr>
            <w:tcW w:w="1440" w:type="dxa"/>
          </w:tcPr>
          <w:p w:rsidR="00604F1B" w:rsidRPr="005545F4" w:rsidRDefault="00604F1B" w:rsidP="009133B2">
            <w:pPr>
              <w:spacing w:after="0" w:line="240" w:lineRule="auto"/>
              <w:jc w:val="center"/>
            </w:pPr>
            <w:r w:rsidRPr="005545F4">
              <w:t>Modalidad</w:t>
            </w:r>
          </w:p>
        </w:tc>
        <w:tc>
          <w:tcPr>
            <w:tcW w:w="1440" w:type="dxa"/>
          </w:tcPr>
          <w:p w:rsidR="00604F1B" w:rsidRPr="005545F4" w:rsidRDefault="00604F1B" w:rsidP="009133B2">
            <w:pPr>
              <w:spacing w:after="0" w:line="240" w:lineRule="auto"/>
              <w:jc w:val="center"/>
            </w:pPr>
            <w:r w:rsidRPr="005545F4">
              <w:t>Función</w:t>
            </w:r>
          </w:p>
        </w:tc>
        <w:tc>
          <w:tcPr>
            <w:tcW w:w="1440" w:type="dxa"/>
          </w:tcPr>
          <w:p w:rsidR="00604F1B" w:rsidRPr="005545F4" w:rsidRDefault="00604F1B" w:rsidP="009133B2">
            <w:pPr>
              <w:spacing w:after="0" w:line="240" w:lineRule="auto"/>
              <w:jc w:val="center"/>
            </w:pPr>
            <w:r w:rsidRPr="005545F4">
              <w:t>Selectividad</w:t>
            </w:r>
          </w:p>
        </w:tc>
        <w:tc>
          <w:tcPr>
            <w:tcW w:w="1572" w:type="dxa"/>
          </w:tcPr>
          <w:p w:rsidR="00604F1B" w:rsidRPr="005545F4" w:rsidRDefault="00604F1B" w:rsidP="009133B2">
            <w:pPr>
              <w:spacing w:after="0" w:line="240" w:lineRule="auto"/>
              <w:jc w:val="center"/>
            </w:pPr>
            <w:r w:rsidRPr="005545F4">
              <w:t>Duración (tiempo)</w:t>
            </w:r>
          </w:p>
        </w:tc>
        <w:tc>
          <w:tcPr>
            <w:tcW w:w="1620" w:type="dxa"/>
          </w:tcPr>
          <w:p w:rsidR="00604F1B" w:rsidRPr="005545F4" w:rsidRDefault="00604F1B" w:rsidP="009133B2">
            <w:pPr>
              <w:spacing w:after="0" w:line="240" w:lineRule="auto"/>
              <w:jc w:val="center"/>
            </w:pPr>
            <w:r w:rsidRPr="005545F4">
              <w:t>Asignaturas que lo componen</w:t>
            </w:r>
          </w:p>
        </w:tc>
      </w:tr>
      <w:tr w:rsidR="00604F1B" w:rsidRPr="005545F4">
        <w:tc>
          <w:tcPr>
            <w:tcW w:w="1548" w:type="dxa"/>
          </w:tcPr>
          <w:p w:rsidR="00604F1B" w:rsidRPr="005545F4" w:rsidRDefault="00604F1B" w:rsidP="009133B2">
            <w:pPr>
              <w:spacing w:after="0" w:line="360" w:lineRule="auto"/>
            </w:pPr>
            <w:r w:rsidRPr="005545F4">
              <w:t>Pre-universitario</w:t>
            </w:r>
          </w:p>
        </w:tc>
        <w:tc>
          <w:tcPr>
            <w:tcW w:w="1200" w:type="dxa"/>
          </w:tcPr>
          <w:p w:rsidR="00604F1B" w:rsidRPr="005545F4" w:rsidRDefault="00604F1B" w:rsidP="009133B2">
            <w:pPr>
              <w:spacing w:after="0" w:line="360" w:lineRule="auto"/>
            </w:pPr>
            <w:r w:rsidRPr="005545F4">
              <w:t>General y Específico</w:t>
            </w:r>
          </w:p>
        </w:tc>
        <w:tc>
          <w:tcPr>
            <w:tcW w:w="1440" w:type="dxa"/>
          </w:tcPr>
          <w:p w:rsidR="00604F1B" w:rsidRPr="005545F4" w:rsidRDefault="00604F1B" w:rsidP="009133B2">
            <w:pPr>
              <w:spacing w:after="0" w:line="360" w:lineRule="auto"/>
            </w:pPr>
            <w:r w:rsidRPr="005545F4">
              <w:t>Presencial</w:t>
            </w:r>
          </w:p>
        </w:tc>
        <w:tc>
          <w:tcPr>
            <w:tcW w:w="1440" w:type="dxa"/>
          </w:tcPr>
          <w:p w:rsidR="00604F1B" w:rsidRPr="005545F4" w:rsidRDefault="00604F1B" w:rsidP="009133B2">
            <w:pPr>
              <w:spacing w:after="0" w:line="360" w:lineRule="auto"/>
              <w:ind w:right="-516"/>
            </w:pPr>
            <w:r w:rsidRPr="005545F4">
              <w:t xml:space="preserve">Orientación </w:t>
            </w:r>
          </w:p>
          <w:p w:rsidR="00604F1B" w:rsidRPr="005545F4" w:rsidRDefault="00604F1B" w:rsidP="009133B2">
            <w:pPr>
              <w:spacing w:after="0" w:line="360" w:lineRule="auto"/>
              <w:ind w:right="-516"/>
            </w:pPr>
            <w:r w:rsidRPr="005545F4">
              <w:t xml:space="preserve">Nivelación </w:t>
            </w:r>
          </w:p>
          <w:p w:rsidR="00604F1B" w:rsidRPr="005545F4" w:rsidRDefault="00604F1B" w:rsidP="009133B2">
            <w:pPr>
              <w:spacing w:after="0" w:line="360" w:lineRule="auto"/>
              <w:ind w:right="-516"/>
            </w:pPr>
            <w:r w:rsidRPr="005545F4">
              <w:t xml:space="preserve">Socialización </w:t>
            </w:r>
          </w:p>
          <w:p w:rsidR="00604F1B" w:rsidRPr="005545F4" w:rsidRDefault="00604F1B" w:rsidP="009133B2">
            <w:pPr>
              <w:spacing w:after="0" w:line="360" w:lineRule="auto"/>
              <w:ind w:right="-516"/>
            </w:pPr>
            <w:r w:rsidRPr="005545F4">
              <w:t>Articulación</w:t>
            </w:r>
          </w:p>
          <w:p w:rsidR="00604F1B" w:rsidRPr="005545F4" w:rsidRDefault="00604F1B" w:rsidP="009133B2">
            <w:pPr>
              <w:spacing w:after="0" w:line="360" w:lineRule="auto"/>
              <w:ind w:right="-516"/>
            </w:pPr>
            <w:r w:rsidRPr="005545F4">
              <w:t>Selección</w:t>
            </w:r>
          </w:p>
          <w:p w:rsidR="00604F1B" w:rsidRPr="005545F4" w:rsidRDefault="00604F1B" w:rsidP="009133B2">
            <w:pPr>
              <w:spacing w:after="0" w:line="360" w:lineRule="auto"/>
            </w:pPr>
          </w:p>
        </w:tc>
        <w:tc>
          <w:tcPr>
            <w:tcW w:w="1440" w:type="dxa"/>
          </w:tcPr>
          <w:p w:rsidR="00604F1B" w:rsidRPr="005545F4" w:rsidRDefault="00604F1B" w:rsidP="009133B2">
            <w:pPr>
              <w:spacing w:after="0" w:line="360" w:lineRule="auto"/>
              <w:jc w:val="center"/>
            </w:pPr>
            <w:r w:rsidRPr="005545F4">
              <w:t>Selectivo sin cupo</w:t>
            </w:r>
          </w:p>
        </w:tc>
        <w:tc>
          <w:tcPr>
            <w:tcW w:w="1572" w:type="dxa"/>
          </w:tcPr>
          <w:p w:rsidR="00604F1B" w:rsidRPr="005545F4" w:rsidRDefault="00604F1B" w:rsidP="009133B2">
            <w:pPr>
              <w:spacing w:after="0" w:line="360" w:lineRule="auto"/>
            </w:pPr>
            <w:r w:rsidRPr="005545F4">
              <w:t>6 semanas</w:t>
            </w:r>
          </w:p>
          <w:p w:rsidR="00604F1B" w:rsidRPr="005545F4" w:rsidRDefault="00604F1B" w:rsidP="009133B2">
            <w:pPr>
              <w:spacing w:after="0" w:line="360" w:lineRule="auto"/>
            </w:pPr>
            <w:r w:rsidRPr="005545F4">
              <w:t>120 hs.</w:t>
            </w:r>
          </w:p>
        </w:tc>
        <w:tc>
          <w:tcPr>
            <w:tcW w:w="1620" w:type="dxa"/>
          </w:tcPr>
          <w:p w:rsidR="00604F1B" w:rsidRPr="005545F4" w:rsidRDefault="00604F1B" w:rsidP="009133B2">
            <w:pPr>
              <w:spacing w:after="0" w:line="360" w:lineRule="auto"/>
            </w:pPr>
            <w:r w:rsidRPr="005545F4">
              <w:t>Introducción a los Estudios Universitarios más dos asignaturas específicas de cada carrera.</w:t>
            </w:r>
          </w:p>
        </w:tc>
      </w:tr>
    </w:tbl>
    <w:p w:rsidR="00604F1B" w:rsidRPr="00B93030" w:rsidRDefault="00604F1B" w:rsidP="00EC6647">
      <w:pPr>
        <w:pStyle w:val="Heading1"/>
        <w:pBdr>
          <w:bottom w:val="dotted" w:sz="6" w:space="0" w:color="999999"/>
        </w:pBdr>
        <w:spacing w:before="150" w:after="150" w:line="240" w:lineRule="auto"/>
        <w:jc w:val="both"/>
        <w:rPr>
          <w:rFonts w:ascii="Calibri" w:hAnsi="Calibri" w:cs="Calibri"/>
          <w:b w:val="0"/>
          <w:bCs w:val="0"/>
          <w:i/>
          <w:iCs/>
          <w:kern w:val="0"/>
          <w:sz w:val="24"/>
          <w:szCs w:val="24"/>
        </w:rPr>
      </w:pPr>
      <w:r w:rsidRPr="00B93030">
        <w:rPr>
          <w:rFonts w:ascii="Calibri" w:hAnsi="Calibri" w:cs="Calibri"/>
          <w:b w:val="0"/>
          <w:bCs w:val="0"/>
          <w:i/>
          <w:iCs/>
          <w:kern w:val="0"/>
          <w:sz w:val="24"/>
          <w:szCs w:val="24"/>
        </w:rPr>
        <w:t>CURSO DE PREPARACIÓN UNIVERSITARIA - (CPU)</w:t>
      </w:r>
    </w:p>
    <w:p w:rsidR="00604F1B" w:rsidRDefault="00604F1B" w:rsidP="00EC6647">
      <w:pPr>
        <w:pStyle w:val="NormalWeb"/>
        <w:jc w:val="both"/>
        <w:rPr>
          <w:rFonts w:ascii="Calibri" w:hAnsi="Calibri" w:cs="Calibri"/>
          <w:i/>
          <w:iCs/>
        </w:rPr>
      </w:pPr>
      <w:r w:rsidRPr="00B93030">
        <w:rPr>
          <w:rFonts w:ascii="Calibri" w:hAnsi="Calibri" w:cs="Calibri"/>
          <w:i/>
          <w:iCs/>
        </w:rPr>
        <w:t>El Curso de Preparación Universitaria (CPU) es un sistema de evaluación y nivelación diseñado para preparar a los futuros estudiantes de grado. </w:t>
      </w:r>
    </w:p>
    <w:p w:rsidR="00604F1B" w:rsidRPr="00B93030" w:rsidRDefault="00604F1B" w:rsidP="00EC6647">
      <w:pPr>
        <w:pStyle w:val="NormalWeb"/>
        <w:jc w:val="both"/>
        <w:rPr>
          <w:rFonts w:ascii="Calibri" w:hAnsi="Calibri" w:cs="Calibri"/>
          <w:i/>
          <w:iCs/>
        </w:rPr>
      </w:pPr>
      <w:r>
        <w:rPr>
          <w:rFonts w:ascii="Calibri" w:hAnsi="Calibri" w:cs="Calibri"/>
          <w:i/>
          <w:iCs/>
        </w:rPr>
        <w:t>Es importante destacar que el CPU de la UNSAM depende de cada Unidad Académica, por lo cual no es posible realizar una caracterización homogénea. Respetando lo establecido de manera general en el Reglamento General de Alumnos, cada Unidad Académica implementa su CPU de manera autónoma.</w:t>
      </w:r>
    </w:p>
    <w:p w:rsidR="00604F1B" w:rsidRPr="00B93030" w:rsidRDefault="00604F1B" w:rsidP="00EC6647">
      <w:pPr>
        <w:pStyle w:val="Heading2"/>
        <w:spacing w:before="150" w:after="150" w:line="240" w:lineRule="auto"/>
        <w:jc w:val="both"/>
        <w:textAlignment w:val="baseline"/>
        <w:rPr>
          <w:rFonts w:ascii="Calibri" w:hAnsi="Calibri" w:cs="Calibri"/>
          <w:b w:val="0"/>
          <w:bCs w:val="0"/>
          <w:sz w:val="24"/>
          <w:szCs w:val="24"/>
        </w:rPr>
      </w:pPr>
      <w:r w:rsidRPr="00B93030">
        <w:rPr>
          <w:rFonts w:ascii="Calibri" w:hAnsi="Calibri" w:cs="Calibri"/>
          <w:b w:val="0"/>
          <w:bCs w:val="0"/>
          <w:sz w:val="24"/>
          <w:szCs w:val="24"/>
        </w:rPr>
        <w:t>OBJETIVOS DEL CPU</w:t>
      </w:r>
    </w:p>
    <w:p w:rsidR="00604F1B" w:rsidRPr="00B93030" w:rsidRDefault="00604F1B" w:rsidP="008C0B51">
      <w:pPr>
        <w:numPr>
          <w:ilvl w:val="0"/>
          <w:numId w:val="3"/>
        </w:numPr>
        <w:tabs>
          <w:tab w:val="clear" w:pos="720"/>
        </w:tabs>
        <w:spacing w:after="0" w:line="240" w:lineRule="auto"/>
        <w:ind w:left="360"/>
        <w:jc w:val="both"/>
        <w:textAlignment w:val="baseline"/>
        <w:rPr>
          <w:i/>
          <w:iCs/>
        </w:rPr>
      </w:pPr>
      <w:r w:rsidRPr="00B93030">
        <w:rPr>
          <w:i/>
          <w:iCs/>
        </w:rPr>
        <w:t>Introducir al estudiante en la vida universitaria e interiorizarlo sobre los fines y objetivos específicos de la UNSAM. Orientarlo en las áreas decisivas de cada carrera;</w:t>
      </w:r>
    </w:p>
    <w:p w:rsidR="00604F1B" w:rsidRPr="00B93030" w:rsidRDefault="00604F1B" w:rsidP="008C0B51">
      <w:pPr>
        <w:numPr>
          <w:ilvl w:val="0"/>
          <w:numId w:val="3"/>
        </w:numPr>
        <w:tabs>
          <w:tab w:val="clear" w:pos="720"/>
        </w:tabs>
        <w:spacing w:after="0" w:line="240" w:lineRule="auto"/>
        <w:ind w:left="360"/>
        <w:jc w:val="both"/>
        <w:textAlignment w:val="baseline"/>
        <w:rPr>
          <w:i/>
          <w:iCs/>
        </w:rPr>
      </w:pPr>
      <w:r w:rsidRPr="00B93030">
        <w:rPr>
          <w:i/>
          <w:iCs/>
        </w:rPr>
        <w:t>Familiarizar al estudiante con el método universitario de estudio;</w:t>
      </w:r>
    </w:p>
    <w:p w:rsidR="00604F1B" w:rsidRPr="00B93030" w:rsidRDefault="00604F1B" w:rsidP="008C0B51">
      <w:pPr>
        <w:numPr>
          <w:ilvl w:val="0"/>
          <w:numId w:val="3"/>
        </w:numPr>
        <w:tabs>
          <w:tab w:val="clear" w:pos="720"/>
        </w:tabs>
        <w:spacing w:after="0" w:line="240" w:lineRule="auto"/>
        <w:ind w:left="360"/>
        <w:jc w:val="both"/>
        <w:textAlignment w:val="baseline"/>
        <w:rPr>
          <w:i/>
          <w:iCs/>
        </w:rPr>
      </w:pPr>
      <w:r w:rsidRPr="00B93030">
        <w:rPr>
          <w:i/>
          <w:iCs/>
        </w:rPr>
        <w:t>Diagnosticar el nivel académico del estudiante al iniciar su carrera;</w:t>
      </w:r>
    </w:p>
    <w:p w:rsidR="00604F1B" w:rsidRPr="00B93030" w:rsidRDefault="00604F1B" w:rsidP="008C0B51">
      <w:pPr>
        <w:numPr>
          <w:ilvl w:val="0"/>
          <w:numId w:val="3"/>
        </w:numPr>
        <w:tabs>
          <w:tab w:val="clear" w:pos="720"/>
        </w:tabs>
        <w:spacing w:after="0" w:line="240" w:lineRule="auto"/>
        <w:ind w:left="360"/>
        <w:jc w:val="both"/>
        <w:textAlignment w:val="baseline"/>
        <w:rPr>
          <w:i/>
          <w:iCs/>
        </w:rPr>
      </w:pPr>
      <w:r w:rsidRPr="00B93030">
        <w:rPr>
          <w:i/>
          <w:iCs/>
        </w:rPr>
        <w:t>Nivelar los conocimientos de todos los estudiantes, adecuándolos a los requerimientos universitarios.</w:t>
      </w:r>
    </w:p>
    <w:p w:rsidR="00604F1B" w:rsidRPr="00B93030" w:rsidRDefault="00604F1B" w:rsidP="00EC6647">
      <w:pPr>
        <w:pStyle w:val="NormalWeb"/>
        <w:jc w:val="both"/>
        <w:rPr>
          <w:rFonts w:ascii="Calibri" w:hAnsi="Calibri" w:cs="Calibri"/>
          <w:i/>
          <w:iCs/>
        </w:rPr>
      </w:pPr>
      <w:r w:rsidRPr="00B93030">
        <w:rPr>
          <w:rFonts w:ascii="Calibri" w:hAnsi="Calibri" w:cs="Calibri"/>
          <w:i/>
          <w:iCs/>
        </w:rPr>
        <w:t>Para inscribirse de forma regular al primer cuatrimestre de cualquier carrera de grado los alumnos deben aprobar todas las materias del CPU (u obtener el reconocimiento por equivalencia).</w:t>
      </w:r>
      <w:r w:rsidRPr="00B93030">
        <w:rPr>
          <w:rFonts w:ascii="Calibri" w:hAnsi="Calibri" w:cs="Calibri"/>
          <w:i/>
          <w:iCs/>
        </w:rPr>
        <w:br/>
        <w:t>La cursada y las obligaciones académicas debidamente aprobadas tienen una vigencia anual, a partir de la fecha de su aprobación.</w:t>
      </w:r>
      <w:r w:rsidRPr="00B93030">
        <w:rPr>
          <w:rStyle w:val="FootnoteReference"/>
          <w:rFonts w:ascii="Calibri" w:hAnsi="Calibri" w:cs="Calibri"/>
          <w:i/>
          <w:iCs/>
        </w:rPr>
        <w:footnoteReference w:id="1"/>
      </w:r>
    </w:p>
    <w:p w:rsidR="00604F1B" w:rsidRPr="00B93030" w:rsidRDefault="00604F1B" w:rsidP="00EC6647">
      <w:pPr>
        <w:pStyle w:val="Heading3"/>
        <w:spacing w:line="240" w:lineRule="auto"/>
        <w:jc w:val="both"/>
        <w:rPr>
          <w:rFonts w:ascii="Calibri" w:hAnsi="Calibri" w:cs="Calibri"/>
        </w:rPr>
      </w:pPr>
      <w:bookmarkStart w:id="0" w:name="_Toc337661796"/>
      <w:r w:rsidRPr="00B93030">
        <w:rPr>
          <w:rFonts w:ascii="Calibri" w:hAnsi="Calibri" w:cs="Calibri"/>
        </w:rPr>
        <w:t>Introducción a los Estudios Universitarios</w:t>
      </w:r>
      <w:r>
        <w:rPr>
          <w:rFonts w:ascii="Calibri" w:hAnsi="Calibri" w:cs="Calibri"/>
        </w:rPr>
        <w:t xml:space="preserve"> (IEU)</w:t>
      </w:r>
      <w:r w:rsidRPr="00B93030">
        <w:rPr>
          <w:rFonts w:ascii="Calibri" w:hAnsi="Calibri" w:cs="Calibri"/>
        </w:rPr>
        <w:t xml:space="preserve"> y otros módulos</w:t>
      </w:r>
      <w:bookmarkEnd w:id="0"/>
    </w:p>
    <w:p w:rsidR="00604F1B" w:rsidRPr="00B93030" w:rsidRDefault="00604F1B" w:rsidP="00EC6647">
      <w:pPr>
        <w:spacing w:line="240" w:lineRule="auto"/>
        <w:jc w:val="both"/>
      </w:pPr>
      <w:r w:rsidRPr="00B93030">
        <w:t>El Reglamento General de Alumnos</w:t>
      </w:r>
      <w:r w:rsidRPr="00B93030">
        <w:rPr>
          <w:rStyle w:val="FootnoteReference"/>
        </w:rPr>
        <w:footnoteReference w:id="2"/>
      </w:r>
      <w:r w:rsidRPr="00B93030">
        <w:t xml:space="preserve"> establece que:</w:t>
      </w:r>
    </w:p>
    <w:p w:rsidR="00604F1B" w:rsidRPr="00B93030" w:rsidRDefault="00604F1B" w:rsidP="00EC6647">
      <w:pPr>
        <w:spacing w:line="240" w:lineRule="auto"/>
        <w:jc w:val="both"/>
        <w:rPr>
          <w:i/>
          <w:iCs/>
        </w:rPr>
      </w:pPr>
      <w:r w:rsidRPr="00B93030">
        <w:rPr>
          <w:i/>
          <w:iCs/>
        </w:rPr>
        <w:t>Art. 13° Para ser admitidos como alumnos regulares, los aspirantes a carreras de pregrado y grado completas deben aprobar los módulos que integran el Curso de Preparación Universitario (CPU). Se podrá dar por aprobado el CPU a los aspirantes que tengan un título previo de educación superior a criterio de la Unidad Académica.</w:t>
      </w:r>
    </w:p>
    <w:p w:rsidR="00604F1B" w:rsidRPr="00B93030" w:rsidRDefault="00604F1B" w:rsidP="00EC6647">
      <w:pPr>
        <w:spacing w:line="240" w:lineRule="auto"/>
        <w:jc w:val="both"/>
        <w:rPr>
          <w:i/>
          <w:iCs/>
        </w:rPr>
      </w:pPr>
      <w:r w:rsidRPr="00B93030">
        <w:rPr>
          <w:i/>
          <w:iCs/>
        </w:rPr>
        <w:t>Art. 14°: El CPU estará compuesto por un módulo común a todas las carreras de grado y pregrado identificado como “Introducción a los Estudios Universitarios” (IEU) y por lo menos otros dos módulos que serán definidos por cada una de las Unidades Académicas.</w:t>
      </w:r>
    </w:p>
    <w:p w:rsidR="00604F1B" w:rsidRPr="00B93030" w:rsidRDefault="00604F1B" w:rsidP="00EC6647">
      <w:pPr>
        <w:spacing w:line="240" w:lineRule="auto"/>
        <w:jc w:val="both"/>
      </w:pPr>
      <w:r w:rsidRPr="00B93030">
        <w:t xml:space="preserve">Observamos que este módulo común tiene contenidos programáticos y carga horaria diferente según cada escuela. </w:t>
      </w:r>
    </w:p>
    <w:p w:rsidR="00604F1B" w:rsidRPr="00B93030" w:rsidRDefault="00604F1B" w:rsidP="00EC6647">
      <w:pPr>
        <w:spacing w:line="240" w:lineRule="auto"/>
        <w:jc w:val="both"/>
      </w:pPr>
      <w:r w:rsidRPr="00B93030">
        <w:t xml:space="preserve">En la escuela de Ciencia y Tecnología, por ejemplo el programa de IEU del primer cuatrimestre 2012, para las licenciaturas o ingenierías, plantea 8 clases, más los espacios de toma y devolución de exámenes, en un total de 5 semanas, completando aproximadamente 18 hs. totales de cursada. </w:t>
      </w:r>
    </w:p>
    <w:p w:rsidR="00604F1B" w:rsidRPr="00B93030" w:rsidRDefault="00604F1B" w:rsidP="00EC6647">
      <w:pPr>
        <w:spacing w:line="240" w:lineRule="auto"/>
        <w:jc w:val="both"/>
      </w:pPr>
      <w:r w:rsidRPr="00B93030">
        <w:t xml:space="preserve">Los temas abordados por el programa fueron: El texto, Tipos de Lenguaje, El texto académico, El argumento, La Lectura de Textos y La escritura universitaria. </w:t>
      </w:r>
    </w:p>
    <w:p w:rsidR="00604F1B" w:rsidRPr="00B93030" w:rsidRDefault="00604F1B" w:rsidP="00EC6647">
      <w:pPr>
        <w:spacing w:line="240" w:lineRule="auto"/>
        <w:jc w:val="both"/>
      </w:pPr>
      <w:r w:rsidRPr="00B93030">
        <w:t xml:space="preserve">Por otro lado, los </w:t>
      </w:r>
      <w:r>
        <w:t>estudiantes</w:t>
      </w:r>
      <w:r w:rsidRPr="00B93030">
        <w:t xml:space="preserve"> de las tecnicaturas cursaron más del doble de horas (un total de 44 hs.) y al contenido de lectura y escritura anterior se les sumaron los siguientes temas: El conocimiento científico, Elementos de lógica, Filosofía e historia de la ciencia.</w:t>
      </w:r>
    </w:p>
    <w:p w:rsidR="00604F1B" w:rsidRPr="00B93030" w:rsidRDefault="00604F1B" w:rsidP="00EC6647">
      <w:pPr>
        <w:spacing w:line="240" w:lineRule="auto"/>
        <w:jc w:val="both"/>
      </w:pPr>
      <w:r w:rsidRPr="00B93030">
        <w:t xml:space="preserve">Por su parte la escuela de Política y Gobierno y el IDAES comparten el siguiente programa para IEU: Plan de estudios carreras de ciencias sociales, Orígenes de la universidad contemporánea, Estructura y reglamentaciones de la UNSAM, Desarrollos e incumbencias académicas de las carreras sociales, Ingreso a la vida universitaria, Estrategias de aprendizaje en el ámbito académico, Hábitos y técnicas de estudio. </w:t>
      </w:r>
    </w:p>
    <w:p w:rsidR="00604F1B" w:rsidRPr="00B93030" w:rsidRDefault="00604F1B" w:rsidP="00EC6647">
      <w:pPr>
        <w:spacing w:line="240" w:lineRule="auto"/>
        <w:jc w:val="both"/>
      </w:pPr>
      <w:r w:rsidRPr="00B93030">
        <w:t>El programa de IEU de la Escuela de Humanidades para las carreras de Psicopedagogía, Letras, Filosofía y Educación aborda los siguientes temas: Funcionamiento y formas de gobierno; La revolución científica del siglo XVII; El problema del conocimiento en la modernidad; El problema del método; Naturaleza humana y determinismo biológico; Medicina y sociedad. Historia de éxitos, disputas y fracasos.</w:t>
      </w:r>
    </w:p>
    <w:p w:rsidR="00604F1B" w:rsidRPr="00B93030" w:rsidRDefault="00604F1B" w:rsidP="00EC6647">
      <w:pPr>
        <w:shd w:val="clear" w:color="auto" w:fill="FFFFFF"/>
        <w:spacing w:before="100" w:beforeAutospacing="1" w:after="100" w:afterAutospacing="1" w:line="240" w:lineRule="auto"/>
        <w:jc w:val="both"/>
        <w:textAlignment w:val="baseline"/>
      </w:pPr>
      <w:r w:rsidRPr="00B93030">
        <w:t>En la Escuela de Economía y Negocios el programa 2012 incluía: El sistema de educación superior en Argentina; Las funciones de la Universidad: docencia, extensión, investigación; Universidad y la formación de profesionales; La UNSAM: origen y relación con la comunidad local; El estudiante de la UNSAM.</w:t>
      </w:r>
    </w:p>
    <w:p w:rsidR="00604F1B" w:rsidRPr="00B93030" w:rsidRDefault="00604F1B" w:rsidP="00EC6647">
      <w:pPr>
        <w:spacing w:line="240" w:lineRule="auto"/>
        <w:jc w:val="both"/>
      </w:pPr>
    </w:p>
    <w:p w:rsidR="00604F1B" w:rsidRPr="00B93030" w:rsidRDefault="00604F1B" w:rsidP="00B93030">
      <w:pPr>
        <w:pStyle w:val="Heading4"/>
        <w:jc w:val="center"/>
        <w:rPr>
          <w:rFonts w:cs="Times New Roman"/>
        </w:rPr>
      </w:pPr>
      <w:bookmarkStart w:id="1" w:name="_Toc337661797"/>
      <w:r>
        <w:t xml:space="preserve">Cuadro de horas y contenidos de la </w:t>
      </w:r>
      <w:r w:rsidRPr="00B93030">
        <w:t>Introducción a los Estudios Universitarios</w:t>
      </w:r>
      <w:r>
        <w:t xml:space="preserve"> (IEU)</w:t>
      </w:r>
      <w:bookmarkEnd w:id="1"/>
    </w:p>
    <w:tbl>
      <w:tblPr>
        <w:tblW w:w="0" w:type="auto"/>
        <w:jc w:val="center"/>
        <w:tblBorders>
          <w:top w:val="single" w:sz="8" w:space="0" w:color="EECF76"/>
          <w:left w:val="single" w:sz="8" w:space="0" w:color="EECF76"/>
          <w:bottom w:val="single" w:sz="8" w:space="0" w:color="EECF76"/>
          <w:right w:val="single" w:sz="8" w:space="0" w:color="EECF76"/>
        </w:tblBorders>
        <w:tblLook w:val="00A0"/>
      </w:tblPr>
      <w:tblGrid>
        <w:gridCol w:w="1756"/>
        <w:gridCol w:w="1756"/>
        <w:gridCol w:w="1756"/>
        <w:gridCol w:w="1756"/>
      </w:tblGrid>
      <w:tr w:rsidR="00604F1B" w:rsidRPr="00B93030">
        <w:trPr>
          <w:jc w:val="center"/>
        </w:trPr>
        <w:tc>
          <w:tcPr>
            <w:tcW w:w="1756" w:type="dxa"/>
            <w:tcBorders>
              <w:top w:val="single" w:sz="8" w:space="0" w:color="EECF76"/>
            </w:tcBorders>
            <w:shd w:val="clear" w:color="auto" w:fill="EECF76"/>
          </w:tcPr>
          <w:p w:rsidR="00604F1B" w:rsidRPr="00A05F93" w:rsidRDefault="00604F1B" w:rsidP="00A05F93">
            <w:pPr>
              <w:spacing w:after="0" w:line="240" w:lineRule="auto"/>
              <w:rPr>
                <w:b/>
                <w:bCs/>
                <w:color w:val="FFFFFF"/>
              </w:rPr>
            </w:pPr>
            <w:r w:rsidRPr="00A05F93">
              <w:rPr>
                <w:b/>
                <w:bCs/>
                <w:color w:val="FFFFFF"/>
                <w:sz w:val="22"/>
                <w:szCs w:val="22"/>
              </w:rPr>
              <w:t>Escuela</w:t>
            </w:r>
          </w:p>
        </w:tc>
        <w:tc>
          <w:tcPr>
            <w:tcW w:w="1756" w:type="dxa"/>
            <w:tcBorders>
              <w:top w:val="single" w:sz="8" w:space="0" w:color="EECF76"/>
            </w:tcBorders>
            <w:shd w:val="clear" w:color="auto" w:fill="EECF76"/>
          </w:tcPr>
          <w:p w:rsidR="00604F1B" w:rsidRPr="00B93030" w:rsidRDefault="00604F1B" w:rsidP="00A05F93">
            <w:pPr>
              <w:spacing w:after="0" w:line="240" w:lineRule="auto"/>
              <w:jc w:val="center"/>
              <w:rPr>
                <w:b/>
                <w:bCs/>
                <w:color w:val="FFFFFF"/>
              </w:rPr>
            </w:pPr>
            <w:r w:rsidRPr="00B93030">
              <w:rPr>
                <w:b/>
                <w:bCs/>
                <w:color w:val="FFFFFF"/>
                <w:sz w:val="22"/>
                <w:szCs w:val="22"/>
              </w:rPr>
              <w:t>Hs. totales de cursada</w:t>
            </w:r>
          </w:p>
        </w:tc>
        <w:tc>
          <w:tcPr>
            <w:tcW w:w="1756" w:type="dxa"/>
            <w:tcBorders>
              <w:top w:val="single" w:sz="8" w:space="0" w:color="EECF76"/>
            </w:tcBorders>
            <w:shd w:val="clear" w:color="auto" w:fill="EECF76"/>
          </w:tcPr>
          <w:p w:rsidR="00604F1B" w:rsidRPr="00B93030" w:rsidRDefault="00604F1B" w:rsidP="00A05F93">
            <w:pPr>
              <w:spacing w:after="0" w:line="240" w:lineRule="auto"/>
              <w:jc w:val="center"/>
              <w:rPr>
                <w:b/>
                <w:bCs/>
                <w:color w:val="FFFFFF"/>
              </w:rPr>
            </w:pPr>
            <w:r w:rsidRPr="00B93030">
              <w:rPr>
                <w:b/>
                <w:bCs/>
                <w:color w:val="FFFFFF"/>
                <w:sz w:val="22"/>
                <w:szCs w:val="22"/>
              </w:rPr>
              <w:t>Contenido de Lectura y escritura</w:t>
            </w:r>
          </w:p>
        </w:tc>
        <w:tc>
          <w:tcPr>
            <w:tcW w:w="1756" w:type="dxa"/>
            <w:tcBorders>
              <w:top w:val="single" w:sz="8" w:space="0" w:color="EECF76"/>
            </w:tcBorders>
            <w:shd w:val="clear" w:color="auto" w:fill="EECF76"/>
          </w:tcPr>
          <w:p w:rsidR="00604F1B" w:rsidRPr="00B93030" w:rsidRDefault="00604F1B" w:rsidP="00A05F93">
            <w:pPr>
              <w:spacing w:after="0" w:line="240" w:lineRule="auto"/>
              <w:jc w:val="center"/>
              <w:rPr>
                <w:b/>
                <w:bCs/>
                <w:color w:val="FFFFFF"/>
              </w:rPr>
            </w:pPr>
            <w:r w:rsidRPr="00B93030">
              <w:rPr>
                <w:b/>
                <w:bCs/>
                <w:color w:val="FFFFFF"/>
                <w:sz w:val="22"/>
                <w:szCs w:val="22"/>
              </w:rPr>
              <w:t>Contenido sobre Conocimiento científico</w:t>
            </w:r>
          </w:p>
        </w:tc>
      </w:tr>
      <w:tr w:rsidR="00604F1B" w:rsidRPr="00B93030">
        <w:trPr>
          <w:jc w:val="center"/>
        </w:trPr>
        <w:tc>
          <w:tcPr>
            <w:tcW w:w="1756" w:type="dxa"/>
            <w:tcBorders>
              <w:top w:val="single" w:sz="8" w:space="0" w:color="EECF76"/>
              <w:bottom w:val="single" w:sz="8" w:space="0" w:color="EECF76"/>
            </w:tcBorders>
          </w:tcPr>
          <w:p w:rsidR="00604F1B" w:rsidRPr="00A05F93" w:rsidRDefault="00604F1B" w:rsidP="00A05F93">
            <w:pPr>
              <w:spacing w:after="0" w:line="240" w:lineRule="auto"/>
              <w:rPr>
                <w:b/>
                <w:bCs/>
              </w:rPr>
            </w:pPr>
            <w:r w:rsidRPr="00A05F93">
              <w:rPr>
                <w:b/>
                <w:bCs/>
                <w:sz w:val="22"/>
                <w:szCs w:val="22"/>
              </w:rPr>
              <w:t>CyT Tecnicaturas</w:t>
            </w:r>
          </w:p>
        </w:tc>
        <w:tc>
          <w:tcPr>
            <w:tcW w:w="1756" w:type="dxa"/>
            <w:tcBorders>
              <w:top w:val="single" w:sz="8" w:space="0" w:color="EECF76"/>
              <w:bottom w:val="single" w:sz="8" w:space="0" w:color="EECF76"/>
            </w:tcBorders>
          </w:tcPr>
          <w:p w:rsidR="00604F1B" w:rsidRPr="00B93030" w:rsidRDefault="00604F1B" w:rsidP="00A05F93">
            <w:pPr>
              <w:spacing w:after="0" w:line="240" w:lineRule="auto"/>
              <w:jc w:val="center"/>
            </w:pPr>
            <w:r w:rsidRPr="00B93030">
              <w:rPr>
                <w:sz w:val="22"/>
                <w:szCs w:val="22"/>
              </w:rPr>
              <w:t>44</w:t>
            </w:r>
          </w:p>
        </w:tc>
        <w:tc>
          <w:tcPr>
            <w:tcW w:w="1756" w:type="dxa"/>
            <w:tcBorders>
              <w:top w:val="single" w:sz="8" w:space="0" w:color="EECF76"/>
              <w:bottom w:val="single" w:sz="8" w:space="0" w:color="EECF76"/>
            </w:tcBorders>
          </w:tcPr>
          <w:p w:rsidR="00604F1B" w:rsidRPr="00B93030" w:rsidRDefault="00604F1B" w:rsidP="00A05F93">
            <w:pPr>
              <w:spacing w:after="0" w:line="240" w:lineRule="auto"/>
              <w:jc w:val="center"/>
            </w:pPr>
            <w:r w:rsidRPr="00B93030">
              <w:rPr>
                <w:sz w:val="22"/>
                <w:szCs w:val="22"/>
              </w:rPr>
              <w:t>x</w:t>
            </w:r>
          </w:p>
        </w:tc>
        <w:tc>
          <w:tcPr>
            <w:tcW w:w="1756" w:type="dxa"/>
            <w:tcBorders>
              <w:top w:val="single" w:sz="8" w:space="0" w:color="EECF76"/>
              <w:bottom w:val="single" w:sz="8" w:space="0" w:color="EECF76"/>
            </w:tcBorders>
          </w:tcPr>
          <w:p w:rsidR="00604F1B" w:rsidRPr="00B93030" w:rsidRDefault="00604F1B" w:rsidP="00A05F93">
            <w:pPr>
              <w:spacing w:after="0" w:line="240" w:lineRule="auto"/>
              <w:jc w:val="center"/>
            </w:pPr>
            <w:r w:rsidRPr="00B93030">
              <w:rPr>
                <w:sz w:val="22"/>
                <w:szCs w:val="22"/>
              </w:rPr>
              <w:t>X</w:t>
            </w:r>
          </w:p>
        </w:tc>
      </w:tr>
      <w:tr w:rsidR="00604F1B" w:rsidRPr="00B93030">
        <w:trPr>
          <w:jc w:val="center"/>
        </w:trPr>
        <w:tc>
          <w:tcPr>
            <w:tcW w:w="1756" w:type="dxa"/>
          </w:tcPr>
          <w:p w:rsidR="00604F1B" w:rsidRPr="00A05F93" w:rsidRDefault="00604F1B" w:rsidP="00A05F93">
            <w:pPr>
              <w:spacing w:after="0" w:line="240" w:lineRule="auto"/>
              <w:rPr>
                <w:b/>
                <w:bCs/>
              </w:rPr>
            </w:pPr>
            <w:r w:rsidRPr="00A05F93">
              <w:rPr>
                <w:b/>
                <w:bCs/>
                <w:sz w:val="22"/>
                <w:szCs w:val="22"/>
              </w:rPr>
              <w:t>CyT Lic. e Ing.</w:t>
            </w:r>
          </w:p>
        </w:tc>
        <w:tc>
          <w:tcPr>
            <w:tcW w:w="1756" w:type="dxa"/>
          </w:tcPr>
          <w:p w:rsidR="00604F1B" w:rsidRPr="00B93030" w:rsidRDefault="00604F1B" w:rsidP="00A05F93">
            <w:pPr>
              <w:spacing w:after="0" w:line="240" w:lineRule="auto"/>
              <w:jc w:val="center"/>
            </w:pPr>
            <w:r w:rsidRPr="00B93030">
              <w:rPr>
                <w:sz w:val="22"/>
                <w:szCs w:val="22"/>
              </w:rPr>
              <w:t>18</w:t>
            </w:r>
          </w:p>
        </w:tc>
        <w:tc>
          <w:tcPr>
            <w:tcW w:w="1756" w:type="dxa"/>
          </w:tcPr>
          <w:p w:rsidR="00604F1B" w:rsidRPr="00B93030" w:rsidRDefault="00604F1B" w:rsidP="00A05F93">
            <w:pPr>
              <w:spacing w:after="0" w:line="240" w:lineRule="auto"/>
              <w:jc w:val="center"/>
            </w:pPr>
            <w:r w:rsidRPr="00B93030">
              <w:rPr>
                <w:sz w:val="22"/>
                <w:szCs w:val="22"/>
              </w:rPr>
              <w:t>X</w:t>
            </w:r>
          </w:p>
        </w:tc>
        <w:tc>
          <w:tcPr>
            <w:tcW w:w="1756" w:type="dxa"/>
          </w:tcPr>
          <w:p w:rsidR="00604F1B" w:rsidRPr="00B93030" w:rsidRDefault="00604F1B" w:rsidP="00A05F93">
            <w:pPr>
              <w:spacing w:after="0" w:line="240" w:lineRule="auto"/>
              <w:jc w:val="center"/>
            </w:pPr>
          </w:p>
        </w:tc>
      </w:tr>
      <w:tr w:rsidR="00604F1B" w:rsidRPr="00B93030">
        <w:trPr>
          <w:jc w:val="center"/>
        </w:trPr>
        <w:tc>
          <w:tcPr>
            <w:tcW w:w="1756" w:type="dxa"/>
            <w:tcBorders>
              <w:top w:val="single" w:sz="8" w:space="0" w:color="EECF76"/>
              <w:bottom w:val="single" w:sz="8" w:space="0" w:color="EECF76"/>
            </w:tcBorders>
          </w:tcPr>
          <w:p w:rsidR="00604F1B" w:rsidRPr="00A05F93" w:rsidRDefault="00604F1B" w:rsidP="00A05F93">
            <w:pPr>
              <w:spacing w:after="0" w:line="240" w:lineRule="auto"/>
              <w:rPr>
                <w:b/>
                <w:bCs/>
              </w:rPr>
            </w:pPr>
            <w:r w:rsidRPr="00A05F93">
              <w:rPr>
                <w:b/>
                <w:bCs/>
                <w:sz w:val="22"/>
                <w:szCs w:val="22"/>
              </w:rPr>
              <w:t>E. P. y G.</w:t>
            </w:r>
          </w:p>
        </w:tc>
        <w:tc>
          <w:tcPr>
            <w:tcW w:w="1756" w:type="dxa"/>
            <w:tcBorders>
              <w:top w:val="single" w:sz="8" w:space="0" w:color="EECF76"/>
              <w:bottom w:val="single" w:sz="8" w:space="0" w:color="EECF76"/>
            </w:tcBorders>
          </w:tcPr>
          <w:p w:rsidR="00604F1B" w:rsidRPr="00B93030" w:rsidRDefault="00604F1B" w:rsidP="00A05F93">
            <w:pPr>
              <w:spacing w:after="0" w:line="240" w:lineRule="auto"/>
              <w:jc w:val="center"/>
            </w:pPr>
            <w:r w:rsidRPr="00B93030">
              <w:rPr>
                <w:sz w:val="22"/>
                <w:szCs w:val="22"/>
              </w:rPr>
              <w:t>15</w:t>
            </w:r>
          </w:p>
        </w:tc>
        <w:tc>
          <w:tcPr>
            <w:tcW w:w="1756" w:type="dxa"/>
            <w:tcBorders>
              <w:top w:val="single" w:sz="8" w:space="0" w:color="EECF76"/>
              <w:bottom w:val="single" w:sz="8" w:space="0" w:color="EECF76"/>
            </w:tcBorders>
          </w:tcPr>
          <w:p w:rsidR="00604F1B" w:rsidRPr="00B93030" w:rsidRDefault="00604F1B" w:rsidP="00A05F93">
            <w:pPr>
              <w:spacing w:after="0" w:line="240" w:lineRule="auto"/>
              <w:jc w:val="center"/>
            </w:pPr>
          </w:p>
        </w:tc>
        <w:tc>
          <w:tcPr>
            <w:tcW w:w="1756" w:type="dxa"/>
            <w:tcBorders>
              <w:top w:val="single" w:sz="8" w:space="0" w:color="EECF76"/>
              <w:bottom w:val="single" w:sz="8" w:space="0" w:color="EECF76"/>
            </w:tcBorders>
          </w:tcPr>
          <w:p w:rsidR="00604F1B" w:rsidRPr="00B93030" w:rsidRDefault="00604F1B" w:rsidP="00A05F93">
            <w:pPr>
              <w:spacing w:after="0" w:line="240" w:lineRule="auto"/>
              <w:jc w:val="center"/>
            </w:pPr>
            <w:r w:rsidRPr="00B93030">
              <w:rPr>
                <w:sz w:val="22"/>
                <w:szCs w:val="22"/>
              </w:rPr>
              <w:t>X</w:t>
            </w:r>
          </w:p>
        </w:tc>
      </w:tr>
      <w:tr w:rsidR="00604F1B" w:rsidRPr="00B93030">
        <w:trPr>
          <w:jc w:val="center"/>
        </w:trPr>
        <w:tc>
          <w:tcPr>
            <w:tcW w:w="1756" w:type="dxa"/>
          </w:tcPr>
          <w:p w:rsidR="00604F1B" w:rsidRPr="00A05F93" w:rsidRDefault="00604F1B" w:rsidP="00A05F93">
            <w:pPr>
              <w:spacing w:after="0" w:line="240" w:lineRule="auto"/>
              <w:rPr>
                <w:b/>
                <w:bCs/>
              </w:rPr>
            </w:pPr>
            <w:r w:rsidRPr="00A05F93">
              <w:rPr>
                <w:b/>
                <w:bCs/>
                <w:sz w:val="22"/>
                <w:szCs w:val="22"/>
              </w:rPr>
              <w:t>E. Humanidades</w:t>
            </w:r>
          </w:p>
        </w:tc>
        <w:tc>
          <w:tcPr>
            <w:tcW w:w="1756" w:type="dxa"/>
          </w:tcPr>
          <w:p w:rsidR="00604F1B" w:rsidRPr="00B93030" w:rsidRDefault="00604F1B" w:rsidP="00A05F93">
            <w:pPr>
              <w:spacing w:after="0" w:line="240" w:lineRule="auto"/>
              <w:jc w:val="center"/>
            </w:pPr>
            <w:r w:rsidRPr="00B93030">
              <w:rPr>
                <w:sz w:val="22"/>
                <w:szCs w:val="22"/>
              </w:rPr>
              <w:t>24</w:t>
            </w:r>
          </w:p>
        </w:tc>
        <w:tc>
          <w:tcPr>
            <w:tcW w:w="1756" w:type="dxa"/>
          </w:tcPr>
          <w:p w:rsidR="00604F1B" w:rsidRPr="00B93030" w:rsidRDefault="00604F1B" w:rsidP="00A05F93">
            <w:pPr>
              <w:spacing w:after="0" w:line="240" w:lineRule="auto"/>
              <w:jc w:val="center"/>
            </w:pPr>
          </w:p>
        </w:tc>
        <w:tc>
          <w:tcPr>
            <w:tcW w:w="1756" w:type="dxa"/>
          </w:tcPr>
          <w:p w:rsidR="00604F1B" w:rsidRPr="00B93030" w:rsidRDefault="00604F1B" w:rsidP="00A05F93">
            <w:pPr>
              <w:spacing w:after="0" w:line="240" w:lineRule="auto"/>
              <w:jc w:val="center"/>
            </w:pPr>
            <w:r w:rsidRPr="00B93030">
              <w:rPr>
                <w:sz w:val="22"/>
                <w:szCs w:val="22"/>
              </w:rPr>
              <w:t>x</w:t>
            </w:r>
          </w:p>
        </w:tc>
      </w:tr>
      <w:tr w:rsidR="00604F1B" w:rsidRPr="00B93030">
        <w:trPr>
          <w:jc w:val="center"/>
        </w:trPr>
        <w:tc>
          <w:tcPr>
            <w:tcW w:w="1756" w:type="dxa"/>
            <w:tcBorders>
              <w:top w:val="single" w:sz="8" w:space="0" w:color="EECF76"/>
              <w:bottom w:val="single" w:sz="8" w:space="0" w:color="EECF76"/>
            </w:tcBorders>
          </w:tcPr>
          <w:p w:rsidR="00604F1B" w:rsidRPr="00A05F93" w:rsidRDefault="00604F1B" w:rsidP="00A05F93">
            <w:pPr>
              <w:spacing w:after="0" w:line="240" w:lineRule="auto"/>
              <w:rPr>
                <w:b/>
                <w:bCs/>
              </w:rPr>
            </w:pPr>
            <w:r w:rsidRPr="00A05F93">
              <w:rPr>
                <w:b/>
                <w:bCs/>
                <w:sz w:val="22"/>
                <w:szCs w:val="22"/>
              </w:rPr>
              <w:t>E. Econ. y Neg.</w:t>
            </w:r>
          </w:p>
        </w:tc>
        <w:tc>
          <w:tcPr>
            <w:tcW w:w="1756" w:type="dxa"/>
            <w:tcBorders>
              <w:top w:val="single" w:sz="8" w:space="0" w:color="EECF76"/>
              <w:bottom w:val="single" w:sz="8" w:space="0" w:color="EECF76"/>
            </w:tcBorders>
          </w:tcPr>
          <w:p w:rsidR="00604F1B" w:rsidRPr="00B93030" w:rsidRDefault="00604F1B" w:rsidP="00A05F93">
            <w:pPr>
              <w:spacing w:after="0" w:line="240" w:lineRule="auto"/>
              <w:jc w:val="center"/>
            </w:pPr>
            <w:r w:rsidRPr="00B93030">
              <w:rPr>
                <w:sz w:val="22"/>
                <w:szCs w:val="22"/>
              </w:rPr>
              <w:t>16</w:t>
            </w:r>
          </w:p>
        </w:tc>
        <w:tc>
          <w:tcPr>
            <w:tcW w:w="1756" w:type="dxa"/>
            <w:tcBorders>
              <w:top w:val="single" w:sz="8" w:space="0" w:color="EECF76"/>
              <w:bottom w:val="single" w:sz="8" w:space="0" w:color="EECF76"/>
            </w:tcBorders>
          </w:tcPr>
          <w:p w:rsidR="00604F1B" w:rsidRPr="00B93030" w:rsidRDefault="00604F1B" w:rsidP="00A05F93">
            <w:pPr>
              <w:spacing w:after="0" w:line="240" w:lineRule="auto"/>
              <w:jc w:val="center"/>
            </w:pPr>
          </w:p>
        </w:tc>
        <w:tc>
          <w:tcPr>
            <w:tcW w:w="1756" w:type="dxa"/>
            <w:tcBorders>
              <w:top w:val="single" w:sz="8" w:space="0" w:color="EECF76"/>
              <w:bottom w:val="single" w:sz="8" w:space="0" w:color="EECF76"/>
            </w:tcBorders>
          </w:tcPr>
          <w:p w:rsidR="00604F1B" w:rsidRPr="00B93030" w:rsidRDefault="00604F1B" w:rsidP="00A05F93">
            <w:pPr>
              <w:spacing w:after="0" w:line="240" w:lineRule="auto"/>
              <w:jc w:val="center"/>
            </w:pPr>
            <w:r w:rsidRPr="00B93030">
              <w:rPr>
                <w:sz w:val="22"/>
                <w:szCs w:val="22"/>
              </w:rPr>
              <w:t>x</w:t>
            </w:r>
          </w:p>
        </w:tc>
      </w:tr>
    </w:tbl>
    <w:p w:rsidR="00604F1B" w:rsidRPr="00B93030" w:rsidRDefault="00604F1B" w:rsidP="00EC6647">
      <w:pPr>
        <w:spacing w:line="240" w:lineRule="auto"/>
        <w:jc w:val="both"/>
      </w:pPr>
    </w:p>
    <w:p w:rsidR="00604F1B" w:rsidRPr="00B93030" w:rsidRDefault="00604F1B" w:rsidP="00EC6647">
      <w:pPr>
        <w:spacing w:line="240" w:lineRule="auto"/>
        <w:jc w:val="both"/>
      </w:pPr>
      <w:r>
        <w:t>En la</w:t>
      </w:r>
      <w:r w:rsidRPr="00B93030">
        <w:t xml:space="preserve"> cursada 2012 </w:t>
      </w:r>
      <w:r>
        <w:t>la asignatura</w:t>
      </w:r>
      <w:r w:rsidRPr="00B93030">
        <w:t xml:space="preserve"> IEU no fue común a todas las carreras por sus diferentes cargas horarias (que influye en la dedicación a cada tema del programa) y por la existencia de distintos programas diferenciados por escuela y por carreras.</w:t>
      </w:r>
    </w:p>
    <w:p w:rsidR="00604F1B" w:rsidRPr="00B93030" w:rsidRDefault="00604F1B" w:rsidP="00EC6647">
      <w:pPr>
        <w:spacing w:line="240" w:lineRule="auto"/>
        <w:jc w:val="both"/>
      </w:pPr>
      <w:r w:rsidRPr="00B93030">
        <w:t xml:space="preserve">En cuanto a los otros dos módulos que cada unidad académica define observamos que en algunas escuelas incluyen una </w:t>
      </w:r>
      <w:r w:rsidRPr="00B93030">
        <w:rPr>
          <w:u w:val="single"/>
        </w:rPr>
        <w:t>materia introductoria a las problemáticas de la carrera</w:t>
      </w:r>
      <w:r w:rsidRPr="00B93030">
        <w:t xml:space="preserve"> elegida.</w:t>
      </w:r>
    </w:p>
    <w:p w:rsidR="00604F1B" w:rsidRPr="00B93030" w:rsidRDefault="00604F1B" w:rsidP="004D5E06">
      <w:pPr>
        <w:spacing w:line="240" w:lineRule="auto"/>
        <w:jc w:val="both"/>
      </w:pPr>
      <w:r w:rsidRPr="00B93030">
        <w:t xml:space="preserve">Así por ejemplo, en la Escuela de Humanidades, el </w:t>
      </w:r>
      <w:r w:rsidRPr="00B93030">
        <w:rPr>
          <w:b/>
          <w:bCs/>
        </w:rPr>
        <w:t>módulo específico de Educación</w:t>
      </w:r>
      <w:r w:rsidRPr="00B93030">
        <w:t xml:space="preserve"> aborda los siguientes temas: Plantes de estudio de las carreras; Las funciones de la Universidad, Las características del ingreso a la universidad; La educación como hecho político, social e histórico. En la misma escuela el </w:t>
      </w:r>
      <w:r w:rsidRPr="00B93030">
        <w:rPr>
          <w:b/>
          <w:bCs/>
        </w:rPr>
        <w:t>módulo específico de Psicopedagogía</w:t>
      </w:r>
      <w:r w:rsidRPr="00B93030">
        <w:t xml:space="preserve"> incluye: Perfil del psicopedagogo; Ecología del desarrollo humano; Desarrollo distintas perspectivas; Desafíos actuales de la psicopedagogía; El malestar en la cultura y la subjetividad de la época; Poner en juego el saber; Educación y prácticas inclusivas; La práctica clínica en psicopedagogía; Psicopedagogía y prevención.</w:t>
      </w:r>
    </w:p>
    <w:p w:rsidR="00604F1B" w:rsidRPr="00B93030" w:rsidRDefault="00604F1B" w:rsidP="00EC6647">
      <w:pPr>
        <w:spacing w:line="240" w:lineRule="auto"/>
        <w:jc w:val="both"/>
      </w:pPr>
      <w:r w:rsidRPr="00B93030">
        <w:t xml:space="preserve">En el caso de </w:t>
      </w:r>
      <w:r w:rsidRPr="00B93030">
        <w:rPr>
          <w:b/>
          <w:bCs/>
        </w:rPr>
        <w:t>matemáticas</w:t>
      </w:r>
      <w:r w:rsidRPr="00B93030">
        <w:t xml:space="preserve"> esta materia se dicta en la Escuela de Ciencia y Tecnología y en la escuela de Economía  y Negocios</w:t>
      </w:r>
      <w:r w:rsidRPr="00B93030">
        <w:rPr>
          <w:rStyle w:val="FootnoteReference"/>
        </w:rPr>
        <w:footnoteReference w:id="3"/>
      </w:r>
      <w:r w:rsidRPr="00B93030">
        <w:t xml:space="preserve">. Los contenidos difieren por escuela y en </w:t>
      </w:r>
      <w:r>
        <w:t>Ciencia y Tecnología</w:t>
      </w:r>
      <w:r w:rsidRPr="00B93030">
        <w:t xml:space="preserve"> según si se trata del CPU para grado o pre-grado. En este último caso los temas de la materia para la tecnicaturas incluyen a los de las licenciaturas y agregan otros temas. </w:t>
      </w:r>
    </w:p>
    <w:p w:rsidR="00604F1B" w:rsidRPr="00B93030" w:rsidRDefault="00604F1B" w:rsidP="00EC6647">
      <w:pPr>
        <w:shd w:val="clear" w:color="auto" w:fill="FFFFFF"/>
        <w:spacing w:beforeAutospacing="1" w:after="0" w:afterAutospacing="1" w:line="240" w:lineRule="auto"/>
        <w:jc w:val="both"/>
        <w:textAlignment w:val="baseline"/>
      </w:pPr>
      <w:r>
        <w:t>L</w:t>
      </w:r>
      <w:r w:rsidRPr="00B93030">
        <w:t xml:space="preserve">os módulos específicos que cada escuela define, varían de acuerdo a cada carrera, tanto en su carga horaria como en sus contenidos. </w:t>
      </w:r>
    </w:p>
    <w:p w:rsidR="00604F1B" w:rsidRPr="00B93030" w:rsidRDefault="00604F1B" w:rsidP="00EC6647">
      <w:pPr>
        <w:pStyle w:val="Heading3"/>
        <w:spacing w:line="240" w:lineRule="auto"/>
        <w:jc w:val="both"/>
        <w:rPr>
          <w:rFonts w:ascii="Calibri" w:hAnsi="Calibri" w:cs="Calibri"/>
        </w:rPr>
      </w:pPr>
      <w:bookmarkStart w:id="2" w:name="_Toc337661798"/>
      <w:r w:rsidRPr="00B93030">
        <w:rPr>
          <w:rFonts w:ascii="Calibri" w:hAnsi="Calibri" w:cs="Calibri"/>
        </w:rPr>
        <w:t>De la aprobación de los módulos</w:t>
      </w:r>
      <w:bookmarkEnd w:id="2"/>
    </w:p>
    <w:p w:rsidR="00604F1B" w:rsidRDefault="00604F1B" w:rsidP="00EC6647">
      <w:pPr>
        <w:spacing w:line="240" w:lineRule="auto"/>
        <w:jc w:val="both"/>
      </w:pPr>
    </w:p>
    <w:p w:rsidR="00604F1B" w:rsidRPr="00B93030" w:rsidRDefault="00604F1B" w:rsidP="00EC6647">
      <w:pPr>
        <w:spacing w:line="240" w:lineRule="auto"/>
        <w:jc w:val="both"/>
      </w:pPr>
      <w:r w:rsidRPr="00B93030">
        <w:t>El Reglamento General de Alumnos establece que:</w:t>
      </w:r>
    </w:p>
    <w:p w:rsidR="00604F1B" w:rsidRPr="00B93030" w:rsidRDefault="00604F1B" w:rsidP="00EC6647">
      <w:pPr>
        <w:spacing w:line="240" w:lineRule="auto"/>
        <w:jc w:val="both"/>
        <w:rPr>
          <w:i/>
          <w:iCs/>
        </w:rPr>
      </w:pPr>
      <w:r w:rsidRPr="00B93030">
        <w:rPr>
          <w:i/>
          <w:iCs/>
        </w:rPr>
        <w:t xml:space="preserve">Art. 15°: La aprobación de cada uno de los módulos que lo componen, se realizará a través de exámenes presenciales e individuales. Cada Unidad Académica establecerá los criterios de aprobación de los mismos. </w:t>
      </w:r>
    </w:p>
    <w:p w:rsidR="00604F1B" w:rsidRPr="00B93030" w:rsidRDefault="00604F1B" w:rsidP="00EC6647">
      <w:pPr>
        <w:spacing w:line="240" w:lineRule="auto"/>
        <w:jc w:val="both"/>
        <w:rPr>
          <w:i/>
          <w:iCs/>
        </w:rPr>
      </w:pPr>
      <w:r w:rsidRPr="00B93030">
        <w:rPr>
          <w:i/>
          <w:iCs/>
        </w:rPr>
        <w:t xml:space="preserve">Art. 16°: Los alumnos aspirantes podrán optar por rendir los exámenes del CPU sin haber cursado los módulos que lo  integran, según los criterios que establezca la Unidad Académica donde este se desarrolle. </w:t>
      </w:r>
    </w:p>
    <w:p w:rsidR="00604F1B" w:rsidRPr="00B93030" w:rsidRDefault="00604F1B" w:rsidP="00EC6647">
      <w:pPr>
        <w:spacing w:line="240" w:lineRule="auto"/>
        <w:jc w:val="both"/>
        <w:rPr>
          <w:i/>
          <w:iCs/>
        </w:rPr>
      </w:pPr>
      <w:r w:rsidRPr="00B93030">
        <w:rPr>
          <w:i/>
          <w:iCs/>
        </w:rPr>
        <w:t>Art. 17°: Para mantener su condición de  alumnos aspirantes, los estudiantes deberán cumplimentar todas las obligaciones académicas requeridas en el CPU respectivo.</w:t>
      </w:r>
    </w:p>
    <w:p w:rsidR="00604F1B" w:rsidRPr="00B93030" w:rsidRDefault="00604F1B" w:rsidP="00EC6647">
      <w:pPr>
        <w:spacing w:line="240" w:lineRule="auto"/>
        <w:jc w:val="both"/>
      </w:pPr>
      <w:r w:rsidRPr="00B93030">
        <w:t>En las distintas escuelas se establecen distintas modalidades de evaluación: promoción directa con la presentación de trabajos prácticos</w:t>
      </w:r>
      <w:r w:rsidRPr="00B93030">
        <w:rPr>
          <w:rStyle w:val="FootnoteReference"/>
        </w:rPr>
        <w:footnoteReference w:id="4"/>
      </w:r>
      <w:r w:rsidRPr="00B93030">
        <w:t>, aprobación de exámenes parciales</w:t>
      </w:r>
      <w:r w:rsidRPr="00B93030">
        <w:rPr>
          <w:rStyle w:val="FootnoteReference"/>
        </w:rPr>
        <w:footnoteReference w:id="5"/>
      </w:r>
      <w:r w:rsidRPr="00B93030">
        <w:t xml:space="preserve"> y evaluación final</w:t>
      </w:r>
      <w:r w:rsidRPr="00B93030">
        <w:rPr>
          <w:rStyle w:val="FootnoteReference"/>
        </w:rPr>
        <w:footnoteReference w:id="6"/>
      </w:r>
      <w:r w:rsidRPr="00B93030">
        <w:t>. En todos los casos se requiere un 75% de asistencia a clases. Los exámenes parciales y finales tienen instancias recuperatorias.</w:t>
      </w:r>
    </w:p>
    <w:p w:rsidR="00604F1B" w:rsidRPr="00B93030" w:rsidRDefault="00604F1B" w:rsidP="00EC6647">
      <w:pPr>
        <w:spacing w:line="240" w:lineRule="auto"/>
        <w:jc w:val="both"/>
      </w:pPr>
      <w:r w:rsidRPr="00B93030">
        <w:t xml:space="preserve">Por otro lado las escuelas de Ciencia y Tecnología, Humanidades y Economía y Negocios tienen organizados </w:t>
      </w:r>
      <w:r w:rsidRPr="00B93030">
        <w:rPr>
          <w:u w:val="single"/>
        </w:rPr>
        <w:t>sistemas de tutorías para los estudiantes</w:t>
      </w:r>
      <w:r w:rsidRPr="00B93030">
        <w:t>. Los mismos consisten en clases grupales de apoyo para los alumnos que opten por tomarlos.</w:t>
      </w:r>
    </w:p>
    <w:p w:rsidR="00604F1B" w:rsidRDefault="00604F1B" w:rsidP="00EC6647">
      <w:pPr>
        <w:spacing w:line="240" w:lineRule="auto"/>
        <w:jc w:val="both"/>
      </w:pPr>
    </w:p>
    <w:p w:rsidR="00604F1B" w:rsidRPr="00B93030" w:rsidRDefault="00604F1B" w:rsidP="00EC6647">
      <w:pPr>
        <w:spacing w:line="240" w:lineRule="auto"/>
        <w:jc w:val="both"/>
      </w:pPr>
      <w:r>
        <w:t>E</w:t>
      </w:r>
      <w:r w:rsidRPr="00B93030">
        <w:t>n el informe</w:t>
      </w:r>
      <w:r>
        <w:t xml:space="preserve"> de autoevaluación 2012 se</w:t>
      </w:r>
      <w:r w:rsidRPr="00B93030">
        <w:t xml:space="preserve"> menciona:</w:t>
      </w:r>
    </w:p>
    <w:p w:rsidR="00604F1B" w:rsidRPr="00B93030" w:rsidRDefault="00604F1B" w:rsidP="00EC6647">
      <w:pPr>
        <w:autoSpaceDE w:val="0"/>
        <w:autoSpaceDN w:val="0"/>
        <w:adjustRightInd w:val="0"/>
        <w:spacing w:after="0" w:line="240" w:lineRule="auto"/>
        <w:jc w:val="both"/>
        <w:rPr>
          <w:i/>
          <w:iCs/>
          <w:color w:val="000000"/>
          <w:sz w:val="22"/>
          <w:szCs w:val="22"/>
        </w:rPr>
      </w:pPr>
      <w:r w:rsidRPr="00B93030">
        <w:rPr>
          <w:i/>
          <w:iCs/>
          <w:color w:val="000000"/>
          <w:sz w:val="22"/>
          <w:szCs w:val="22"/>
        </w:rPr>
        <w:t>“En la estructura del CPU, las UUAA realizaron actividades tendientes a mejorar la tasa de ingreso, implementando acciones tutoriales y de acompañamiento a los estudiantes desde el tramo inicial de su preparación. Las indagaciones realizadas a estudiantes de grado que completaron el CPU, indican un alto grado de conformidad con dicho curso.</w:t>
      </w:r>
    </w:p>
    <w:p w:rsidR="00604F1B" w:rsidRPr="00B93030" w:rsidRDefault="00604F1B" w:rsidP="00EC6647">
      <w:pPr>
        <w:autoSpaceDE w:val="0"/>
        <w:autoSpaceDN w:val="0"/>
        <w:adjustRightInd w:val="0"/>
        <w:spacing w:after="0" w:line="240" w:lineRule="auto"/>
        <w:jc w:val="both"/>
        <w:rPr>
          <w:i/>
          <w:iCs/>
          <w:color w:val="000000"/>
          <w:sz w:val="22"/>
          <w:szCs w:val="22"/>
        </w:rPr>
      </w:pPr>
      <w:r w:rsidRPr="00B93030">
        <w:rPr>
          <w:i/>
          <w:iCs/>
          <w:color w:val="000000"/>
          <w:sz w:val="22"/>
          <w:szCs w:val="22"/>
        </w:rPr>
        <w:t>El 80% de los estudiantes asocian al CPU preponderantemente a una instancia introductoria a la carrera y como fuente de elementos para la vida universitaria, en particular en EH y EEyN y en los institutos ITF e IDAES. En menor medida se lo reconoce como instancia de ampliación de conocimientos en áreas específicas. En definitiva, el ingreso a las carreras de pregrado y grado a la UNSAM cumple con las funciones y requisitos que cada Escuela e Instituto le atribuyen y es aceptado favorablemente por los estudiantes.”</w:t>
      </w:r>
    </w:p>
    <w:p w:rsidR="00604F1B" w:rsidRPr="00B93030" w:rsidRDefault="00604F1B" w:rsidP="00EC6647">
      <w:pPr>
        <w:autoSpaceDE w:val="0"/>
        <w:autoSpaceDN w:val="0"/>
        <w:adjustRightInd w:val="0"/>
        <w:spacing w:after="0" w:line="240" w:lineRule="auto"/>
        <w:jc w:val="both"/>
        <w:rPr>
          <w:color w:val="000000"/>
        </w:rPr>
      </w:pPr>
    </w:p>
    <w:sectPr w:rsidR="00604F1B" w:rsidRPr="00B93030" w:rsidSect="00246424">
      <w:headerReference w:type="default" r:id="rId8"/>
      <w:footerReference w:type="default" r:id="rId9"/>
      <w:pgSz w:w="12240" w:h="15840"/>
      <w:pgMar w:top="1417" w:right="1701" w:bottom="1417"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F1B" w:rsidRDefault="00604F1B">
      <w:r>
        <w:separator/>
      </w:r>
    </w:p>
  </w:endnote>
  <w:endnote w:type="continuationSeparator" w:id="0">
    <w:p w:rsidR="00604F1B" w:rsidRDefault="00604F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F1B" w:rsidRDefault="00604F1B" w:rsidP="00180A8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604F1B" w:rsidRDefault="00604F1B" w:rsidP="0020458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F1B" w:rsidRDefault="00604F1B">
      <w:r>
        <w:separator/>
      </w:r>
    </w:p>
  </w:footnote>
  <w:footnote w:type="continuationSeparator" w:id="0">
    <w:p w:rsidR="00604F1B" w:rsidRDefault="00604F1B">
      <w:r>
        <w:continuationSeparator/>
      </w:r>
    </w:p>
  </w:footnote>
  <w:footnote w:id="1">
    <w:p w:rsidR="00604F1B" w:rsidRDefault="00604F1B">
      <w:pPr>
        <w:pStyle w:val="FootnoteText"/>
      </w:pPr>
      <w:r>
        <w:rPr>
          <w:rStyle w:val="FootnoteReference"/>
        </w:rPr>
        <w:footnoteRef/>
      </w:r>
      <w:r>
        <w:t xml:space="preserve"> Página web UNSAM 2012</w:t>
      </w:r>
    </w:p>
  </w:footnote>
  <w:footnote w:id="2">
    <w:p w:rsidR="00604F1B" w:rsidRDefault="00604F1B">
      <w:pPr>
        <w:pStyle w:val="FootnoteText"/>
      </w:pPr>
      <w:r>
        <w:rPr>
          <w:rStyle w:val="FootnoteReference"/>
        </w:rPr>
        <w:footnoteRef/>
      </w:r>
      <w:r>
        <w:t xml:space="preserve"> Resolución CS Nº 108/08 </w:t>
      </w:r>
      <w:hyperlink r:id="rId1" w:history="1">
        <w:r>
          <w:rPr>
            <w:rStyle w:val="Hyperlink"/>
          </w:rPr>
          <w:t>http://www.unsam.edu.ar/escuelas/politica/Reglamento_de_Admisi%C3%B3n.pdf</w:t>
        </w:r>
      </w:hyperlink>
    </w:p>
  </w:footnote>
  <w:footnote w:id="3">
    <w:p w:rsidR="00604F1B" w:rsidRDefault="00604F1B">
      <w:pPr>
        <w:pStyle w:val="FootnoteText"/>
      </w:pPr>
      <w:r>
        <w:rPr>
          <w:rStyle w:val="FootnoteReference"/>
        </w:rPr>
        <w:footnoteRef/>
      </w:r>
      <w:r>
        <w:t xml:space="preserve"> En el año 2011 se dictó un curso denominado “Cuando la matemática se integra con el estudio y construcción de las ciencias sociales” para algunas carreras de ciencias sociales.</w:t>
      </w:r>
    </w:p>
  </w:footnote>
  <w:footnote w:id="4">
    <w:p w:rsidR="00604F1B" w:rsidRDefault="00604F1B">
      <w:pPr>
        <w:pStyle w:val="FootnoteText"/>
      </w:pPr>
      <w:r>
        <w:rPr>
          <w:rStyle w:val="FootnoteReference"/>
        </w:rPr>
        <w:footnoteRef/>
      </w:r>
      <w:r>
        <w:t xml:space="preserve"> IEU Ciencias Sociales, Política y Gobierno. </w:t>
      </w:r>
    </w:p>
  </w:footnote>
  <w:footnote w:id="5">
    <w:p w:rsidR="00604F1B" w:rsidRDefault="00604F1B">
      <w:pPr>
        <w:pStyle w:val="FootnoteText"/>
      </w:pPr>
      <w:r>
        <w:rPr>
          <w:rStyle w:val="FootnoteReference"/>
        </w:rPr>
        <w:footnoteRef/>
      </w:r>
      <w:r>
        <w:t xml:space="preserve">Matemáticas e IEU, C .y T.,  </w:t>
      </w:r>
    </w:p>
  </w:footnote>
  <w:footnote w:id="6">
    <w:p w:rsidR="00604F1B" w:rsidRDefault="00604F1B">
      <w:pPr>
        <w:pStyle w:val="FootnoteText"/>
      </w:pPr>
      <w:r>
        <w:rPr>
          <w:rStyle w:val="FootnoteReference"/>
        </w:rPr>
        <w:footnoteRef/>
      </w:r>
      <w:r>
        <w:t xml:space="preserve"> Módulo específico Educación, Psicopedagogía. Es presencial, escrito e individual.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F1B" w:rsidRDefault="00604F1B">
    <w:r>
      <w:rPr>
        <w:noProof/>
        <w:lang w:val="es-AR" w:eastAsia="es-AR"/>
      </w:rPr>
      <w:pict>
        <v:rect id="_x0000_s2049" style="position:absolute;margin-left:31.65pt;margin-top:40.65pt;width:549.75pt;height:711.75pt;z-index:251660288;mso-position-horizontal-relative:page;mso-position-vertical-relative:page" o:allowincell="f" filled="f" strokecolor="#756462">
          <w10:wrap anchorx="page" anchory="page"/>
        </v:rect>
      </w:pict>
    </w:r>
  </w:p>
  <w:p w:rsidR="00604F1B" w:rsidRDefault="00604F1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331BD"/>
    <w:multiLevelType w:val="multilevel"/>
    <w:tmpl w:val="AEE4DF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72363F44"/>
    <w:multiLevelType w:val="multilevel"/>
    <w:tmpl w:val="CF86C3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7B40092E"/>
    <w:multiLevelType w:val="multilevel"/>
    <w:tmpl w:val="B58666D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7E00"/>
    <w:rsid w:val="000A11F3"/>
    <w:rsid w:val="000A4BBD"/>
    <w:rsid w:val="000B07C2"/>
    <w:rsid w:val="000C58AC"/>
    <w:rsid w:val="001349C6"/>
    <w:rsid w:val="0015114A"/>
    <w:rsid w:val="00180A8B"/>
    <w:rsid w:val="00183B6B"/>
    <w:rsid w:val="001911DD"/>
    <w:rsid w:val="00194B3F"/>
    <w:rsid w:val="001A5B15"/>
    <w:rsid w:val="001C5C2D"/>
    <w:rsid w:val="001D411D"/>
    <w:rsid w:val="001E13B3"/>
    <w:rsid w:val="00204588"/>
    <w:rsid w:val="0020798A"/>
    <w:rsid w:val="00246424"/>
    <w:rsid w:val="002925A8"/>
    <w:rsid w:val="002A0247"/>
    <w:rsid w:val="002C1A66"/>
    <w:rsid w:val="00325429"/>
    <w:rsid w:val="003255FD"/>
    <w:rsid w:val="00371FEC"/>
    <w:rsid w:val="003D0CDA"/>
    <w:rsid w:val="004651CF"/>
    <w:rsid w:val="00470EBD"/>
    <w:rsid w:val="00495916"/>
    <w:rsid w:val="004D5E06"/>
    <w:rsid w:val="004F0284"/>
    <w:rsid w:val="004F2655"/>
    <w:rsid w:val="004F69BD"/>
    <w:rsid w:val="00515870"/>
    <w:rsid w:val="005545F4"/>
    <w:rsid w:val="005766BC"/>
    <w:rsid w:val="005A49E8"/>
    <w:rsid w:val="005F7564"/>
    <w:rsid w:val="00604F1B"/>
    <w:rsid w:val="00645A4D"/>
    <w:rsid w:val="00646088"/>
    <w:rsid w:val="006624D8"/>
    <w:rsid w:val="00697850"/>
    <w:rsid w:val="006C6979"/>
    <w:rsid w:val="006D1398"/>
    <w:rsid w:val="00714C33"/>
    <w:rsid w:val="00730A33"/>
    <w:rsid w:val="00735A36"/>
    <w:rsid w:val="00777C02"/>
    <w:rsid w:val="007D0933"/>
    <w:rsid w:val="007E6B73"/>
    <w:rsid w:val="00822841"/>
    <w:rsid w:val="00850DE2"/>
    <w:rsid w:val="008C0B51"/>
    <w:rsid w:val="008E2365"/>
    <w:rsid w:val="009133B2"/>
    <w:rsid w:val="00931022"/>
    <w:rsid w:val="00935D6C"/>
    <w:rsid w:val="0094084D"/>
    <w:rsid w:val="00A05F93"/>
    <w:rsid w:val="00A1430C"/>
    <w:rsid w:val="00A14D83"/>
    <w:rsid w:val="00A27E00"/>
    <w:rsid w:val="00A400C3"/>
    <w:rsid w:val="00AB132A"/>
    <w:rsid w:val="00AC7729"/>
    <w:rsid w:val="00AE13EB"/>
    <w:rsid w:val="00B16074"/>
    <w:rsid w:val="00B528F5"/>
    <w:rsid w:val="00B93030"/>
    <w:rsid w:val="00BB29EC"/>
    <w:rsid w:val="00BC598B"/>
    <w:rsid w:val="00C16F6A"/>
    <w:rsid w:val="00C20470"/>
    <w:rsid w:val="00C909DD"/>
    <w:rsid w:val="00C91F12"/>
    <w:rsid w:val="00CE39FA"/>
    <w:rsid w:val="00E7195E"/>
    <w:rsid w:val="00E87550"/>
    <w:rsid w:val="00E922F6"/>
    <w:rsid w:val="00EC6647"/>
    <w:rsid w:val="00F72E0A"/>
    <w:rsid w:val="00F91FD6"/>
    <w:rsid w:val="00FA6152"/>
    <w:rsid w:val="00FB407C"/>
    <w:rsid w:val="00FF18D6"/>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C6979"/>
    <w:pPr>
      <w:spacing w:after="200" w:line="276" w:lineRule="auto"/>
    </w:pPr>
    <w:rPr>
      <w:rFonts w:cs="Calibri"/>
      <w:sz w:val="24"/>
      <w:szCs w:val="24"/>
      <w:lang w:val="es-ES" w:eastAsia="es-ES"/>
    </w:rPr>
  </w:style>
  <w:style w:type="paragraph" w:styleId="Heading1">
    <w:name w:val="heading 1"/>
    <w:basedOn w:val="Normal"/>
    <w:next w:val="Normal"/>
    <w:link w:val="Heading1Char"/>
    <w:uiPriority w:val="99"/>
    <w:qFormat/>
    <w:rsid w:val="00E922F6"/>
    <w:pPr>
      <w:keepNext/>
      <w:spacing w:before="240" w:after="60"/>
      <w:outlineLvl w:val="0"/>
    </w:pPr>
    <w:rPr>
      <w:rFonts w:ascii="Cambria" w:eastAsia="Times New Roman" w:hAnsi="Cambria" w:cs="Cambria"/>
      <w:b/>
      <w:bCs/>
      <w:kern w:val="32"/>
      <w:sz w:val="32"/>
      <w:szCs w:val="32"/>
      <w:lang w:val="es-AR"/>
    </w:rPr>
  </w:style>
  <w:style w:type="paragraph" w:styleId="Heading2">
    <w:name w:val="heading 2"/>
    <w:basedOn w:val="Normal"/>
    <w:next w:val="Normal"/>
    <w:link w:val="Heading2Char"/>
    <w:uiPriority w:val="99"/>
    <w:qFormat/>
    <w:rsid w:val="00AE13EB"/>
    <w:pPr>
      <w:keepNext/>
      <w:spacing w:before="240" w:after="60"/>
      <w:outlineLvl w:val="1"/>
    </w:pPr>
    <w:rPr>
      <w:rFonts w:ascii="Cambria" w:eastAsia="Times New Roman" w:hAnsi="Cambria" w:cs="Cambria"/>
      <w:b/>
      <w:bCs/>
      <w:i/>
      <w:iCs/>
      <w:sz w:val="28"/>
      <w:szCs w:val="28"/>
      <w:lang w:val="es-AR"/>
    </w:rPr>
  </w:style>
  <w:style w:type="paragraph" w:styleId="Heading3">
    <w:name w:val="heading 3"/>
    <w:basedOn w:val="Normal"/>
    <w:next w:val="Normal"/>
    <w:link w:val="Heading3Char"/>
    <w:uiPriority w:val="99"/>
    <w:qFormat/>
    <w:rsid w:val="000A4BBD"/>
    <w:pPr>
      <w:keepNext/>
      <w:spacing w:before="240" w:after="60"/>
      <w:outlineLvl w:val="2"/>
    </w:pPr>
    <w:rPr>
      <w:rFonts w:ascii="Cambria" w:eastAsia="Times New Roman" w:hAnsi="Cambria" w:cs="Cambria"/>
      <w:b/>
      <w:bCs/>
      <w:sz w:val="26"/>
      <w:szCs w:val="26"/>
      <w:lang w:val="es-AR"/>
    </w:rPr>
  </w:style>
  <w:style w:type="paragraph" w:styleId="Heading4">
    <w:name w:val="heading 4"/>
    <w:basedOn w:val="Normal"/>
    <w:next w:val="Normal"/>
    <w:link w:val="Heading4Char"/>
    <w:uiPriority w:val="99"/>
    <w:qFormat/>
    <w:rsid w:val="00B93030"/>
    <w:pPr>
      <w:keepNext/>
      <w:spacing w:before="240" w:after="60"/>
      <w:outlineLvl w:val="3"/>
    </w:pPr>
    <w:rPr>
      <w:rFonts w:eastAsia="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22F6"/>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AE13EB"/>
    <w:rPr>
      <w:rFonts w:ascii="Cambria" w:hAnsi="Cambria" w:cs="Cambria"/>
      <w:b/>
      <w:bCs/>
      <w:i/>
      <w:iCs/>
      <w:sz w:val="28"/>
      <w:szCs w:val="28"/>
    </w:rPr>
  </w:style>
  <w:style w:type="character" w:customStyle="1" w:styleId="Heading3Char">
    <w:name w:val="Heading 3 Char"/>
    <w:basedOn w:val="DefaultParagraphFont"/>
    <w:link w:val="Heading3"/>
    <w:uiPriority w:val="99"/>
    <w:locked/>
    <w:rsid w:val="000A4BBD"/>
    <w:rPr>
      <w:rFonts w:ascii="Cambria" w:hAnsi="Cambria" w:cs="Cambria"/>
      <w:b/>
      <w:bCs/>
      <w:sz w:val="26"/>
      <w:szCs w:val="26"/>
    </w:rPr>
  </w:style>
  <w:style w:type="character" w:customStyle="1" w:styleId="Heading4Char">
    <w:name w:val="Heading 4 Char"/>
    <w:basedOn w:val="DefaultParagraphFont"/>
    <w:link w:val="Heading4"/>
    <w:uiPriority w:val="99"/>
    <w:locked/>
    <w:rsid w:val="00B93030"/>
    <w:rPr>
      <w:rFonts w:ascii="Calibri" w:hAnsi="Calibri" w:cs="Calibri"/>
      <w:b/>
      <w:bCs/>
      <w:sz w:val="28"/>
      <w:szCs w:val="28"/>
    </w:rPr>
  </w:style>
  <w:style w:type="paragraph" w:customStyle="1" w:styleId="Globodetexto">
    <w:name w:val="Globo de texto"/>
    <w:basedOn w:val="Normal"/>
    <w:link w:val="Carcterdeglobodetexto"/>
    <w:uiPriority w:val="99"/>
    <w:semiHidden/>
    <w:rsid w:val="006C6979"/>
    <w:rPr>
      <w:rFonts w:ascii="Tahoma" w:hAnsi="Tahoma" w:cs="Tahoma"/>
      <w:sz w:val="16"/>
      <w:szCs w:val="16"/>
      <w:lang w:val="es-AR"/>
    </w:rPr>
  </w:style>
  <w:style w:type="character" w:customStyle="1" w:styleId="Carcterdeglobodetexto">
    <w:name w:val="Carácter de globo de texto"/>
    <w:link w:val="Globodetexto"/>
    <w:uiPriority w:val="99"/>
    <w:semiHidden/>
    <w:locked/>
    <w:rsid w:val="006C6979"/>
    <w:rPr>
      <w:rFonts w:ascii="Tahoma" w:hAnsi="Tahoma" w:cs="Tahoma"/>
      <w:sz w:val="16"/>
      <w:szCs w:val="16"/>
    </w:rPr>
  </w:style>
  <w:style w:type="character" w:styleId="PlaceholderText">
    <w:name w:val="Placeholder Text"/>
    <w:basedOn w:val="DefaultParagraphFont"/>
    <w:uiPriority w:val="99"/>
    <w:rsid w:val="006C6979"/>
  </w:style>
  <w:style w:type="paragraph" w:styleId="Title">
    <w:name w:val="Title"/>
    <w:basedOn w:val="Normal"/>
    <w:link w:val="TitleChar"/>
    <w:uiPriority w:val="99"/>
    <w:qFormat/>
    <w:rsid w:val="006C6979"/>
    <w:pPr>
      <w:spacing w:before="720" w:after="60"/>
      <w:jc w:val="center"/>
    </w:pPr>
    <w:rPr>
      <w:rFonts w:ascii="Cambria" w:eastAsia="Times New Roman" w:hAnsi="Cambria" w:cs="Cambria"/>
      <w:b/>
      <w:bCs/>
      <w:color w:val="5D504E"/>
      <w:kern w:val="28"/>
      <w:sz w:val="52"/>
      <w:szCs w:val="52"/>
      <w:lang w:val="es-AR"/>
    </w:rPr>
  </w:style>
  <w:style w:type="character" w:customStyle="1" w:styleId="TitleChar">
    <w:name w:val="Title Char"/>
    <w:basedOn w:val="DefaultParagraphFont"/>
    <w:link w:val="Title"/>
    <w:uiPriority w:val="99"/>
    <w:locked/>
    <w:rsid w:val="006C6979"/>
    <w:rPr>
      <w:rFonts w:ascii="Cambria" w:hAnsi="Cambria" w:cs="Cambria"/>
      <w:b/>
      <w:bCs/>
      <w:color w:val="5D504E"/>
      <w:kern w:val="28"/>
      <w:sz w:val="52"/>
      <w:szCs w:val="52"/>
    </w:rPr>
  </w:style>
  <w:style w:type="paragraph" w:styleId="Subtitle">
    <w:name w:val="Subtitle"/>
    <w:basedOn w:val="Normal"/>
    <w:link w:val="SubtitleChar"/>
    <w:uiPriority w:val="99"/>
    <w:qFormat/>
    <w:rsid w:val="006C6979"/>
    <w:pPr>
      <w:numPr>
        <w:ilvl w:val="1"/>
      </w:numPr>
      <w:spacing w:after="240" w:line="240" w:lineRule="auto"/>
      <w:jc w:val="center"/>
    </w:pPr>
    <w:rPr>
      <w:rFonts w:eastAsia="Times New Roman"/>
      <w:color w:val="000000"/>
      <w:sz w:val="28"/>
      <w:szCs w:val="28"/>
      <w:lang w:val="es-AR"/>
    </w:rPr>
  </w:style>
  <w:style w:type="character" w:customStyle="1" w:styleId="SubtitleChar">
    <w:name w:val="Subtitle Char"/>
    <w:basedOn w:val="DefaultParagraphFont"/>
    <w:link w:val="Subtitle"/>
    <w:uiPriority w:val="99"/>
    <w:locked/>
    <w:rsid w:val="006C6979"/>
    <w:rPr>
      <w:rFonts w:eastAsia="Times New Roman"/>
      <w:color w:val="000000"/>
      <w:sz w:val="28"/>
      <w:szCs w:val="28"/>
    </w:rPr>
  </w:style>
  <w:style w:type="character" w:styleId="Emphasis">
    <w:name w:val="Emphasis"/>
    <w:basedOn w:val="DefaultParagraphFont"/>
    <w:uiPriority w:val="99"/>
    <w:qFormat/>
    <w:rsid w:val="006C6979"/>
    <w:rPr>
      <w:i/>
      <w:iCs/>
    </w:rPr>
  </w:style>
  <w:style w:type="paragraph" w:customStyle="1" w:styleId="encabezado">
    <w:name w:val="encabezado"/>
    <w:basedOn w:val="Normal"/>
    <w:link w:val="Carcterdeencabezado"/>
    <w:uiPriority w:val="99"/>
    <w:semiHidden/>
    <w:rsid w:val="006C6979"/>
    <w:pPr>
      <w:tabs>
        <w:tab w:val="center" w:pos="4320"/>
        <w:tab w:val="right" w:pos="8640"/>
      </w:tabs>
    </w:pPr>
    <w:rPr>
      <w:lang w:val="es-AR"/>
    </w:rPr>
  </w:style>
  <w:style w:type="character" w:customStyle="1" w:styleId="Carcterdeencabezado">
    <w:name w:val="Carácter de encabezado"/>
    <w:link w:val="encabezado"/>
    <w:uiPriority w:val="99"/>
    <w:semiHidden/>
    <w:locked/>
    <w:rsid w:val="006C6979"/>
    <w:rPr>
      <w:sz w:val="24"/>
      <w:szCs w:val="24"/>
    </w:rPr>
  </w:style>
  <w:style w:type="paragraph" w:styleId="NormalIndent">
    <w:name w:val="Normal Indent"/>
    <w:basedOn w:val="Normal"/>
    <w:uiPriority w:val="99"/>
    <w:semiHidden/>
    <w:rsid w:val="006C6979"/>
    <w:pPr>
      <w:spacing w:before="240" w:after="120" w:line="268" w:lineRule="auto"/>
      <w:ind w:left="720"/>
    </w:pPr>
    <w:rPr>
      <w:rFonts w:eastAsia="Times New Roman"/>
      <w:sz w:val="22"/>
      <w:szCs w:val="22"/>
    </w:rPr>
  </w:style>
  <w:style w:type="paragraph" w:styleId="BalloonText">
    <w:name w:val="Balloon Text"/>
    <w:basedOn w:val="Normal"/>
    <w:link w:val="BalloonTextChar"/>
    <w:uiPriority w:val="99"/>
    <w:semiHidden/>
    <w:rsid w:val="00A27E00"/>
    <w:pPr>
      <w:spacing w:after="0" w:line="240" w:lineRule="auto"/>
    </w:pPr>
    <w:rPr>
      <w:rFonts w:ascii="Tahoma" w:hAnsi="Tahoma" w:cs="Tahoma"/>
      <w:sz w:val="16"/>
      <w:szCs w:val="16"/>
      <w:lang w:val="es-AR"/>
    </w:rPr>
  </w:style>
  <w:style w:type="character" w:customStyle="1" w:styleId="BalloonTextChar">
    <w:name w:val="Balloon Text Char"/>
    <w:basedOn w:val="DefaultParagraphFont"/>
    <w:link w:val="BalloonText"/>
    <w:uiPriority w:val="99"/>
    <w:semiHidden/>
    <w:locked/>
    <w:rsid w:val="00A27E00"/>
    <w:rPr>
      <w:rFonts w:ascii="Tahoma" w:hAnsi="Tahoma" w:cs="Tahoma"/>
      <w:sz w:val="16"/>
      <w:szCs w:val="16"/>
    </w:rPr>
  </w:style>
  <w:style w:type="paragraph" w:styleId="FootnoteText">
    <w:name w:val="footnote text"/>
    <w:basedOn w:val="Normal"/>
    <w:link w:val="FootnoteTextChar"/>
    <w:uiPriority w:val="99"/>
    <w:semiHidden/>
    <w:rsid w:val="00A27E00"/>
    <w:pPr>
      <w:spacing w:after="0" w:line="240" w:lineRule="auto"/>
    </w:pPr>
    <w:rPr>
      <w:sz w:val="20"/>
      <w:szCs w:val="20"/>
      <w:lang w:val="es-AR"/>
    </w:rPr>
  </w:style>
  <w:style w:type="character" w:customStyle="1" w:styleId="FootnoteTextChar">
    <w:name w:val="Footnote Text Char"/>
    <w:basedOn w:val="DefaultParagraphFont"/>
    <w:link w:val="FootnoteText"/>
    <w:uiPriority w:val="99"/>
    <w:semiHidden/>
    <w:locked/>
    <w:rsid w:val="00A27E00"/>
    <w:rPr>
      <w:sz w:val="20"/>
      <w:szCs w:val="20"/>
    </w:rPr>
  </w:style>
  <w:style w:type="character" w:styleId="FootnoteReference">
    <w:name w:val="footnote reference"/>
    <w:basedOn w:val="DefaultParagraphFont"/>
    <w:uiPriority w:val="99"/>
    <w:semiHidden/>
    <w:rsid w:val="00A27E00"/>
    <w:rPr>
      <w:vertAlign w:val="superscript"/>
    </w:rPr>
  </w:style>
  <w:style w:type="character" w:styleId="Hyperlink">
    <w:name w:val="Hyperlink"/>
    <w:basedOn w:val="DefaultParagraphFont"/>
    <w:uiPriority w:val="99"/>
    <w:rsid w:val="007E6B73"/>
    <w:rPr>
      <w:color w:val="0000FF"/>
      <w:u w:val="single"/>
    </w:rPr>
  </w:style>
  <w:style w:type="table" w:styleId="TableGrid">
    <w:name w:val="Table Grid"/>
    <w:basedOn w:val="TableNormal"/>
    <w:uiPriority w:val="99"/>
    <w:rsid w:val="004651C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2">
    <w:name w:val="Light List Accent 2"/>
    <w:basedOn w:val="TableNormal"/>
    <w:uiPriority w:val="99"/>
    <w:rsid w:val="00C909DD"/>
    <w:rPr>
      <w:rFonts w:cs="Calibri"/>
      <w:sz w:val="20"/>
      <w:szCs w:val="20"/>
    </w:rPr>
    <w:tblPr>
      <w:tblStyleRowBandSize w:val="1"/>
      <w:tblStyleColBandSize w:val="1"/>
      <w:tblBorders>
        <w:top w:val="single" w:sz="8" w:space="0" w:color="EECF76"/>
        <w:left w:val="single" w:sz="8" w:space="0" w:color="EECF76"/>
        <w:bottom w:val="single" w:sz="8" w:space="0" w:color="EECF76"/>
        <w:right w:val="single" w:sz="8" w:space="0" w:color="EECF76"/>
      </w:tblBorders>
      <w:tblCellMar>
        <w:top w:w="0" w:type="dxa"/>
        <w:left w:w="108" w:type="dxa"/>
        <w:bottom w:w="0" w:type="dxa"/>
        <w:right w:w="108" w:type="dxa"/>
      </w:tblCellMar>
    </w:tblPr>
    <w:tblStylePr w:type="firstRow">
      <w:pPr>
        <w:spacing w:before="0" w:after="0"/>
      </w:pPr>
      <w:rPr>
        <w:b/>
        <w:bCs/>
        <w:color w:val="FFFFFF"/>
      </w:rPr>
      <w:tblPr/>
      <w:tcPr>
        <w:shd w:val="clear" w:color="auto" w:fill="EECF76"/>
      </w:tcPr>
    </w:tblStylePr>
    <w:tblStylePr w:type="lastRow">
      <w:pPr>
        <w:spacing w:before="0" w:after="0"/>
      </w:pPr>
      <w:rPr>
        <w:b/>
        <w:bCs/>
      </w:rPr>
      <w:tblPr/>
      <w:tcPr>
        <w:tcBorders>
          <w:top w:val="double" w:sz="6" w:space="0" w:color="EECF76"/>
          <w:left w:val="single" w:sz="8" w:space="0" w:color="EECF76"/>
          <w:bottom w:val="single" w:sz="8" w:space="0" w:color="EECF76"/>
          <w:right w:val="single" w:sz="8" w:space="0" w:color="EECF76"/>
        </w:tcBorders>
      </w:tcPr>
    </w:tblStylePr>
    <w:tblStylePr w:type="firstCol">
      <w:rPr>
        <w:b/>
        <w:bCs/>
      </w:rPr>
    </w:tblStylePr>
    <w:tblStylePr w:type="lastCol">
      <w:rPr>
        <w:b/>
        <w:bCs/>
      </w:rPr>
    </w:tblStylePr>
    <w:tblStylePr w:type="band1Vert">
      <w:tblPr/>
      <w:tcPr>
        <w:tcBorders>
          <w:top w:val="single" w:sz="8" w:space="0" w:color="EECF76"/>
          <w:left w:val="single" w:sz="8" w:space="0" w:color="EECF76"/>
          <w:bottom w:val="single" w:sz="8" w:space="0" w:color="EECF76"/>
          <w:right w:val="single" w:sz="8" w:space="0" w:color="EECF76"/>
        </w:tcBorders>
      </w:tcPr>
    </w:tblStylePr>
    <w:tblStylePr w:type="band1Horz">
      <w:tblPr/>
      <w:tcPr>
        <w:tcBorders>
          <w:top w:val="single" w:sz="8" w:space="0" w:color="EECF76"/>
          <w:left w:val="single" w:sz="8" w:space="0" w:color="EECF76"/>
          <w:bottom w:val="single" w:sz="8" w:space="0" w:color="EECF76"/>
          <w:right w:val="single" w:sz="8" w:space="0" w:color="EECF76"/>
        </w:tcBorders>
      </w:tcPr>
    </w:tblStylePr>
  </w:style>
  <w:style w:type="character" w:customStyle="1" w:styleId="apple-converted-space">
    <w:name w:val="apple-converted-space"/>
    <w:uiPriority w:val="99"/>
    <w:rsid w:val="00AE13EB"/>
  </w:style>
  <w:style w:type="character" w:styleId="Strong">
    <w:name w:val="Strong"/>
    <w:basedOn w:val="DefaultParagraphFont"/>
    <w:uiPriority w:val="99"/>
    <w:qFormat/>
    <w:rsid w:val="00AE13EB"/>
    <w:rPr>
      <w:b/>
      <w:bCs/>
    </w:rPr>
  </w:style>
  <w:style w:type="paragraph" w:styleId="Header">
    <w:name w:val="header"/>
    <w:basedOn w:val="Normal"/>
    <w:link w:val="HeaderChar"/>
    <w:uiPriority w:val="99"/>
    <w:rsid w:val="00F72E0A"/>
    <w:pPr>
      <w:tabs>
        <w:tab w:val="center" w:pos="4252"/>
        <w:tab w:val="right" w:pos="8504"/>
      </w:tabs>
    </w:pPr>
    <w:rPr>
      <w:lang w:val="es-AR"/>
    </w:rPr>
  </w:style>
  <w:style w:type="character" w:customStyle="1" w:styleId="HeaderChar">
    <w:name w:val="Header Char"/>
    <w:basedOn w:val="DefaultParagraphFont"/>
    <w:link w:val="Header"/>
    <w:uiPriority w:val="99"/>
    <w:locked/>
    <w:rsid w:val="00F72E0A"/>
    <w:rPr>
      <w:sz w:val="24"/>
      <w:szCs w:val="24"/>
    </w:rPr>
  </w:style>
  <w:style w:type="paragraph" w:styleId="Footer">
    <w:name w:val="footer"/>
    <w:basedOn w:val="Normal"/>
    <w:link w:val="FooterChar"/>
    <w:uiPriority w:val="99"/>
    <w:rsid w:val="00F72E0A"/>
    <w:pPr>
      <w:tabs>
        <w:tab w:val="center" w:pos="4252"/>
        <w:tab w:val="right" w:pos="8504"/>
      </w:tabs>
    </w:pPr>
    <w:rPr>
      <w:lang w:val="es-AR"/>
    </w:rPr>
  </w:style>
  <w:style w:type="character" w:customStyle="1" w:styleId="FooterChar">
    <w:name w:val="Footer Char"/>
    <w:basedOn w:val="DefaultParagraphFont"/>
    <w:link w:val="Footer"/>
    <w:uiPriority w:val="99"/>
    <w:locked/>
    <w:rsid w:val="00F72E0A"/>
    <w:rPr>
      <w:sz w:val="24"/>
      <w:szCs w:val="24"/>
    </w:rPr>
  </w:style>
  <w:style w:type="paragraph" w:styleId="NormalWeb">
    <w:name w:val="Normal (Web)"/>
    <w:basedOn w:val="Normal"/>
    <w:uiPriority w:val="99"/>
    <w:semiHidden/>
    <w:rsid w:val="00E922F6"/>
    <w:pPr>
      <w:spacing w:before="100" w:beforeAutospacing="1" w:after="100" w:afterAutospacing="1" w:line="240" w:lineRule="auto"/>
    </w:pPr>
    <w:rPr>
      <w:rFonts w:ascii="Times New Roman" w:eastAsia="Times New Roman" w:hAnsi="Times New Roman" w:cs="Times New Roman"/>
    </w:rPr>
  </w:style>
  <w:style w:type="character" w:customStyle="1" w:styleId="skypepnhcontainer">
    <w:name w:val="skype_pnh_container"/>
    <w:basedOn w:val="DefaultParagraphFont"/>
    <w:uiPriority w:val="99"/>
    <w:rsid w:val="00B93030"/>
  </w:style>
  <w:style w:type="character" w:customStyle="1" w:styleId="skypepnhtextspan">
    <w:name w:val="skype_pnh_text_span"/>
    <w:basedOn w:val="DefaultParagraphFont"/>
    <w:uiPriority w:val="99"/>
    <w:rsid w:val="00B93030"/>
  </w:style>
  <w:style w:type="character" w:customStyle="1" w:styleId="gd">
    <w:name w:val="gd"/>
    <w:basedOn w:val="DefaultParagraphFont"/>
    <w:uiPriority w:val="99"/>
    <w:rsid w:val="00B93030"/>
  </w:style>
  <w:style w:type="paragraph" w:styleId="TOCHeading">
    <w:name w:val="TOC Heading"/>
    <w:basedOn w:val="Heading1"/>
    <w:next w:val="Normal"/>
    <w:uiPriority w:val="99"/>
    <w:qFormat/>
    <w:rsid w:val="00B93030"/>
    <w:pPr>
      <w:keepLines/>
      <w:spacing w:before="480" w:after="0"/>
      <w:outlineLvl w:val="9"/>
    </w:pPr>
    <w:rPr>
      <w:color w:val="365F91"/>
      <w:kern w:val="0"/>
      <w:sz w:val="28"/>
      <w:szCs w:val="28"/>
      <w:lang w:eastAsia="en-US"/>
    </w:rPr>
  </w:style>
  <w:style w:type="paragraph" w:styleId="TOC1">
    <w:name w:val="toc 1"/>
    <w:basedOn w:val="Normal"/>
    <w:next w:val="Normal"/>
    <w:autoRedefine/>
    <w:uiPriority w:val="99"/>
    <w:semiHidden/>
    <w:rsid w:val="00B93030"/>
  </w:style>
  <w:style w:type="paragraph" w:styleId="TOC2">
    <w:name w:val="toc 2"/>
    <w:basedOn w:val="Normal"/>
    <w:next w:val="Normal"/>
    <w:autoRedefine/>
    <w:uiPriority w:val="99"/>
    <w:semiHidden/>
    <w:rsid w:val="00B93030"/>
    <w:pPr>
      <w:tabs>
        <w:tab w:val="right" w:leader="dot" w:pos="8630"/>
      </w:tabs>
      <w:ind w:left="240"/>
    </w:pPr>
    <w:rPr>
      <w:noProof/>
      <w:sz w:val="20"/>
      <w:szCs w:val="20"/>
    </w:rPr>
  </w:style>
  <w:style w:type="paragraph" w:styleId="TOC3">
    <w:name w:val="toc 3"/>
    <w:basedOn w:val="Normal"/>
    <w:next w:val="Normal"/>
    <w:autoRedefine/>
    <w:uiPriority w:val="99"/>
    <w:semiHidden/>
    <w:rsid w:val="00B93030"/>
    <w:pPr>
      <w:ind w:left="480"/>
    </w:pPr>
  </w:style>
  <w:style w:type="table" w:customStyle="1" w:styleId="Tablaconcuadrcula1">
    <w:name w:val="Tabla con cuadrícula1"/>
    <w:uiPriority w:val="99"/>
    <w:rsid w:val="008C0B5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204588"/>
  </w:style>
</w:styles>
</file>

<file path=word/webSettings.xml><?xml version="1.0" encoding="utf-8"?>
<w:webSettings xmlns:r="http://schemas.openxmlformats.org/officeDocument/2006/relationships" xmlns:w="http://schemas.openxmlformats.org/wordprocessingml/2006/main">
  <w:divs>
    <w:div w:id="973752550">
      <w:marLeft w:val="0"/>
      <w:marRight w:val="0"/>
      <w:marTop w:val="0"/>
      <w:marBottom w:val="0"/>
      <w:divBdr>
        <w:top w:val="none" w:sz="0" w:space="0" w:color="auto"/>
        <w:left w:val="none" w:sz="0" w:space="0" w:color="auto"/>
        <w:bottom w:val="none" w:sz="0" w:space="0" w:color="auto"/>
        <w:right w:val="none" w:sz="0" w:space="0" w:color="auto"/>
      </w:divBdr>
    </w:div>
    <w:div w:id="973752551">
      <w:marLeft w:val="0"/>
      <w:marRight w:val="0"/>
      <w:marTop w:val="0"/>
      <w:marBottom w:val="0"/>
      <w:divBdr>
        <w:top w:val="none" w:sz="0" w:space="0" w:color="auto"/>
        <w:left w:val="none" w:sz="0" w:space="0" w:color="auto"/>
        <w:bottom w:val="none" w:sz="0" w:space="0" w:color="auto"/>
        <w:right w:val="none" w:sz="0" w:space="0" w:color="auto"/>
      </w:divBdr>
    </w:div>
    <w:div w:id="973752552">
      <w:marLeft w:val="0"/>
      <w:marRight w:val="0"/>
      <w:marTop w:val="0"/>
      <w:marBottom w:val="0"/>
      <w:divBdr>
        <w:top w:val="none" w:sz="0" w:space="0" w:color="auto"/>
        <w:left w:val="none" w:sz="0" w:space="0" w:color="auto"/>
        <w:bottom w:val="none" w:sz="0" w:space="0" w:color="auto"/>
        <w:right w:val="none" w:sz="0" w:space="0" w:color="auto"/>
      </w:divBdr>
    </w:div>
    <w:div w:id="973752553">
      <w:marLeft w:val="0"/>
      <w:marRight w:val="0"/>
      <w:marTop w:val="0"/>
      <w:marBottom w:val="0"/>
      <w:divBdr>
        <w:top w:val="none" w:sz="0" w:space="0" w:color="auto"/>
        <w:left w:val="none" w:sz="0" w:space="0" w:color="auto"/>
        <w:bottom w:val="none" w:sz="0" w:space="0" w:color="auto"/>
        <w:right w:val="none" w:sz="0" w:space="0" w:color="auto"/>
      </w:divBdr>
    </w:div>
    <w:div w:id="973752554">
      <w:marLeft w:val="0"/>
      <w:marRight w:val="0"/>
      <w:marTop w:val="0"/>
      <w:marBottom w:val="0"/>
      <w:divBdr>
        <w:top w:val="none" w:sz="0" w:space="0" w:color="auto"/>
        <w:left w:val="none" w:sz="0" w:space="0" w:color="auto"/>
        <w:bottom w:val="none" w:sz="0" w:space="0" w:color="auto"/>
        <w:right w:val="none" w:sz="0" w:space="0" w:color="auto"/>
      </w:divBdr>
    </w:div>
    <w:div w:id="973752555">
      <w:marLeft w:val="0"/>
      <w:marRight w:val="0"/>
      <w:marTop w:val="0"/>
      <w:marBottom w:val="0"/>
      <w:divBdr>
        <w:top w:val="none" w:sz="0" w:space="0" w:color="auto"/>
        <w:left w:val="none" w:sz="0" w:space="0" w:color="auto"/>
        <w:bottom w:val="none" w:sz="0" w:space="0" w:color="auto"/>
        <w:right w:val="none" w:sz="0" w:space="0" w:color="auto"/>
      </w:divBdr>
    </w:div>
    <w:div w:id="973752556">
      <w:marLeft w:val="0"/>
      <w:marRight w:val="0"/>
      <w:marTop w:val="0"/>
      <w:marBottom w:val="0"/>
      <w:divBdr>
        <w:top w:val="none" w:sz="0" w:space="0" w:color="auto"/>
        <w:left w:val="none" w:sz="0" w:space="0" w:color="auto"/>
        <w:bottom w:val="none" w:sz="0" w:space="0" w:color="auto"/>
        <w:right w:val="none" w:sz="0" w:space="0" w:color="auto"/>
      </w:divBdr>
    </w:div>
    <w:div w:id="973752557">
      <w:marLeft w:val="0"/>
      <w:marRight w:val="0"/>
      <w:marTop w:val="0"/>
      <w:marBottom w:val="0"/>
      <w:divBdr>
        <w:top w:val="none" w:sz="0" w:space="0" w:color="auto"/>
        <w:left w:val="none" w:sz="0" w:space="0" w:color="auto"/>
        <w:bottom w:val="none" w:sz="0" w:space="0" w:color="auto"/>
        <w:right w:val="none" w:sz="0" w:space="0" w:color="auto"/>
      </w:divBdr>
    </w:div>
    <w:div w:id="973752558">
      <w:marLeft w:val="0"/>
      <w:marRight w:val="0"/>
      <w:marTop w:val="0"/>
      <w:marBottom w:val="0"/>
      <w:divBdr>
        <w:top w:val="none" w:sz="0" w:space="0" w:color="auto"/>
        <w:left w:val="none" w:sz="0" w:space="0" w:color="auto"/>
        <w:bottom w:val="none" w:sz="0" w:space="0" w:color="auto"/>
        <w:right w:val="none" w:sz="0" w:space="0" w:color="auto"/>
      </w:divBdr>
    </w:div>
    <w:div w:id="973752559">
      <w:marLeft w:val="0"/>
      <w:marRight w:val="0"/>
      <w:marTop w:val="0"/>
      <w:marBottom w:val="0"/>
      <w:divBdr>
        <w:top w:val="none" w:sz="0" w:space="0" w:color="auto"/>
        <w:left w:val="none" w:sz="0" w:space="0" w:color="auto"/>
        <w:bottom w:val="none" w:sz="0" w:space="0" w:color="auto"/>
        <w:right w:val="none" w:sz="0" w:space="0" w:color="auto"/>
      </w:divBdr>
    </w:div>
    <w:div w:id="973752567">
      <w:marLeft w:val="0"/>
      <w:marRight w:val="0"/>
      <w:marTop w:val="0"/>
      <w:marBottom w:val="0"/>
      <w:divBdr>
        <w:top w:val="none" w:sz="0" w:space="0" w:color="auto"/>
        <w:left w:val="none" w:sz="0" w:space="0" w:color="auto"/>
        <w:bottom w:val="none" w:sz="0" w:space="0" w:color="auto"/>
        <w:right w:val="none" w:sz="0" w:space="0" w:color="auto"/>
      </w:divBdr>
      <w:divsChild>
        <w:div w:id="973752560">
          <w:marLeft w:val="0"/>
          <w:marRight w:val="0"/>
          <w:marTop w:val="0"/>
          <w:marBottom w:val="0"/>
          <w:divBdr>
            <w:top w:val="none" w:sz="0" w:space="0" w:color="auto"/>
            <w:left w:val="none" w:sz="0" w:space="0" w:color="auto"/>
            <w:bottom w:val="none" w:sz="0" w:space="0" w:color="auto"/>
            <w:right w:val="none" w:sz="0" w:space="0" w:color="auto"/>
          </w:divBdr>
        </w:div>
        <w:div w:id="973752563">
          <w:marLeft w:val="0"/>
          <w:marRight w:val="0"/>
          <w:marTop w:val="0"/>
          <w:marBottom w:val="0"/>
          <w:divBdr>
            <w:top w:val="none" w:sz="0" w:space="0" w:color="auto"/>
            <w:left w:val="none" w:sz="0" w:space="0" w:color="auto"/>
            <w:bottom w:val="none" w:sz="0" w:space="0" w:color="auto"/>
            <w:right w:val="none" w:sz="0" w:space="0" w:color="auto"/>
          </w:divBdr>
        </w:div>
        <w:div w:id="973752564">
          <w:marLeft w:val="0"/>
          <w:marRight w:val="0"/>
          <w:marTop w:val="0"/>
          <w:marBottom w:val="0"/>
          <w:divBdr>
            <w:top w:val="none" w:sz="0" w:space="0" w:color="auto"/>
            <w:left w:val="none" w:sz="0" w:space="0" w:color="auto"/>
            <w:bottom w:val="none" w:sz="0" w:space="0" w:color="auto"/>
            <w:right w:val="none" w:sz="0" w:space="0" w:color="auto"/>
          </w:divBdr>
        </w:div>
        <w:div w:id="973752568">
          <w:marLeft w:val="0"/>
          <w:marRight w:val="0"/>
          <w:marTop w:val="0"/>
          <w:marBottom w:val="0"/>
          <w:divBdr>
            <w:top w:val="none" w:sz="0" w:space="0" w:color="auto"/>
            <w:left w:val="none" w:sz="0" w:space="0" w:color="auto"/>
            <w:bottom w:val="none" w:sz="0" w:space="0" w:color="auto"/>
            <w:right w:val="none" w:sz="0" w:space="0" w:color="auto"/>
          </w:divBdr>
        </w:div>
        <w:div w:id="973752570">
          <w:marLeft w:val="0"/>
          <w:marRight w:val="0"/>
          <w:marTop w:val="0"/>
          <w:marBottom w:val="0"/>
          <w:divBdr>
            <w:top w:val="none" w:sz="0" w:space="0" w:color="auto"/>
            <w:left w:val="none" w:sz="0" w:space="0" w:color="auto"/>
            <w:bottom w:val="none" w:sz="0" w:space="0" w:color="auto"/>
            <w:right w:val="none" w:sz="0" w:space="0" w:color="auto"/>
          </w:divBdr>
        </w:div>
        <w:div w:id="973752573">
          <w:marLeft w:val="0"/>
          <w:marRight w:val="0"/>
          <w:marTop w:val="0"/>
          <w:marBottom w:val="0"/>
          <w:divBdr>
            <w:top w:val="none" w:sz="0" w:space="0" w:color="auto"/>
            <w:left w:val="none" w:sz="0" w:space="0" w:color="auto"/>
            <w:bottom w:val="none" w:sz="0" w:space="0" w:color="auto"/>
            <w:right w:val="none" w:sz="0" w:space="0" w:color="auto"/>
          </w:divBdr>
        </w:div>
        <w:div w:id="973752574">
          <w:marLeft w:val="0"/>
          <w:marRight w:val="0"/>
          <w:marTop w:val="0"/>
          <w:marBottom w:val="0"/>
          <w:divBdr>
            <w:top w:val="none" w:sz="0" w:space="0" w:color="auto"/>
            <w:left w:val="none" w:sz="0" w:space="0" w:color="auto"/>
            <w:bottom w:val="none" w:sz="0" w:space="0" w:color="auto"/>
            <w:right w:val="none" w:sz="0" w:space="0" w:color="auto"/>
          </w:divBdr>
        </w:div>
        <w:div w:id="973752579">
          <w:marLeft w:val="0"/>
          <w:marRight w:val="0"/>
          <w:marTop w:val="0"/>
          <w:marBottom w:val="0"/>
          <w:divBdr>
            <w:top w:val="none" w:sz="0" w:space="0" w:color="auto"/>
            <w:left w:val="none" w:sz="0" w:space="0" w:color="auto"/>
            <w:bottom w:val="none" w:sz="0" w:space="0" w:color="auto"/>
            <w:right w:val="none" w:sz="0" w:space="0" w:color="auto"/>
          </w:divBdr>
        </w:div>
        <w:div w:id="973752580">
          <w:marLeft w:val="0"/>
          <w:marRight w:val="0"/>
          <w:marTop w:val="0"/>
          <w:marBottom w:val="0"/>
          <w:divBdr>
            <w:top w:val="none" w:sz="0" w:space="0" w:color="auto"/>
            <w:left w:val="none" w:sz="0" w:space="0" w:color="auto"/>
            <w:bottom w:val="none" w:sz="0" w:space="0" w:color="auto"/>
            <w:right w:val="none" w:sz="0" w:space="0" w:color="auto"/>
          </w:divBdr>
        </w:div>
        <w:div w:id="973752581">
          <w:marLeft w:val="0"/>
          <w:marRight w:val="0"/>
          <w:marTop w:val="0"/>
          <w:marBottom w:val="0"/>
          <w:divBdr>
            <w:top w:val="none" w:sz="0" w:space="0" w:color="auto"/>
            <w:left w:val="none" w:sz="0" w:space="0" w:color="auto"/>
            <w:bottom w:val="none" w:sz="0" w:space="0" w:color="auto"/>
            <w:right w:val="none" w:sz="0" w:space="0" w:color="auto"/>
          </w:divBdr>
        </w:div>
        <w:div w:id="973752584">
          <w:marLeft w:val="0"/>
          <w:marRight w:val="0"/>
          <w:marTop w:val="0"/>
          <w:marBottom w:val="0"/>
          <w:divBdr>
            <w:top w:val="none" w:sz="0" w:space="0" w:color="auto"/>
            <w:left w:val="none" w:sz="0" w:space="0" w:color="auto"/>
            <w:bottom w:val="none" w:sz="0" w:space="0" w:color="auto"/>
            <w:right w:val="none" w:sz="0" w:space="0" w:color="auto"/>
          </w:divBdr>
        </w:div>
        <w:div w:id="973752585">
          <w:marLeft w:val="0"/>
          <w:marRight w:val="0"/>
          <w:marTop w:val="0"/>
          <w:marBottom w:val="0"/>
          <w:divBdr>
            <w:top w:val="none" w:sz="0" w:space="0" w:color="auto"/>
            <w:left w:val="none" w:sz="0" w:space="0" w:color="auto"/>
            <w:bottom w:val="none" w:sz="0" w:space="0" w:color="auto"/>
            <w:right w:val="none" w:sz="0" w:space="0" w:color="auto"/>
          </w:divBdr>
        </w:div>
        <w:div w:id="973752588">
          <w:marLeft w:val="0"/>
          <w:marRight w:val="0"/>
          <w:marTop w:val="0"/>
          <w:marBottom w:val="0"/>
          <w:divBdr>
            <w:top w:val="none" w:sz="0" w:space="0" w:color="auto"/>
            <w:left w:val="none" w:sz="0" w:space="0" w:color="auto"/>
            <w:bottom w:val="none" w:sz="0" w:space="0" w:color="auto"/>
            <w:right w:val="none" w:sz="0" w:space="0" w:color="auto"/>
          </w:divBdr>
        </w:div>
        <w:div w:id="973752589">
          <w:marLeft w:val="0"/>
          <w:marRight w:val="0"/>
          <w:marTop w:val="0"/>
          <w:marBottom w:val="0"/>
          <w:divBdr>
            <w:top w:val="none" w:sz="0" w:space="0" w:color="auto"/>
            <w:left w:val="none" w:sz="0" w:space="0" w:color="auto"/>
            <w:bottom w:val="none" w:sz="0" w:space="0" w:color="auto"/>
            <w:right w:val="none" w:sz="0" w:space="0" w:color="auto"/>
          </w:divBdr>
        </w:div>
        <w:div w:id="973752590">
          <w:marLeft w:val="0"/>
          <w:marRight w:val="0"/>
          <w:marTop w:val="0"/>
          <w:marBottom w:val="0"/>
          <w:divBdr>
            <w:top w:val="none" w:sz="0" w:space="0" w:color="auto"/>
            <w:left w:val="none" w:sz="0" w:space="0" w:color="auto"/>
            <w:bottom w:val="none" w:sz="0" w:space="0" w:color="auto"/>
            <w:right w:val="none" w:sz="0" w:space="0" w:color="auto"/>
          </w:divBdr>
        </w:div>
      </w:divsChild>
    </w:div>
    <w:div w:id="973752578">
      <w:marLeft w:val="0"/>
      <w:marRight w:val="0"/>
      <w:marTop w:val="0"/>
      <w:marBottom w:val="0"/>
      <w:divBdr>
        <w:top w:val="none" w:sz="0" w:space="0" w:color="auto"/>
        <w:left w:val="none" w:sz="0" w:space="0" w:color="auto"/>
        <w:bottom w:val="none" w:sz="0" w:space="0" w:color="auto"/>
        <w:right w:val="none" w:sz="0" w:space="0" w:color="auto"/>
      </w:divBdr>
      <w:divsChild>
        <w:div w:id="973752561">
          <w:marLeft w:val="0"/>
          <w:marRight w:val="0"/>
          <w:marTop w:val="0"/>
          <w:marBottom w:val="0"/>
          <w:divBdr>
            <w:top w:val="none" w:sz="0" w:space="0" w:color="auto"/>
            <w:left w:val="none" w:sz="0" w:space="0" w:color="auto"/>
            <w:bottom w:val="none" w:sz="0" w:space="0" w:color="auto"/>
            <w:right w:val="none" w:sz="0" w:space="0" w:color="auto"/>
          </w:divBdr>
        </w:div>
        <w:div w:id="973752562">
          <w:marLeft w:val="0"/>
          <w:marRight w:val="0"/>
          <w:marTop w:val="0"/>
          <w:marBottom w:val="0"/>
          <w:divBdr>
            <w:top w:val="none" w:sz="0" w:space="0" w:color="auto"/>
            <w:left w:val="none" w:sz="0" w:space="0" w:color="auto"/>
            <w:bottom w:val="none" w:sz="0" w:space="0" w:color="auto"/>
            <w:right w:val="none" w:sz="0" w:space="0" w:color="auto"/>
          </w:divBdr>
        </w:div>
        <w:div w:id="973752565">
          <w:marLeft w:val="0"/>
          <w:marRight w:val="0"/>
          <w:marTop w:val="0"/>
          <w:marBottom w:val="0"/>
          <w:divBdr>
            <w:top w:val="none" w:sz="0" w:space="0" w:color="auto"/>
            <w:left w:val="none" w:sz="0" w:space="0" w:color="auto"/>
            <w:bottom w:val="none" w:sz="0" w:space="0" w:color="auto"/>
            <w:right w:val="none" w:sz="0" w:space="0" w:color="auto"/>
          </w:divBdr>
        </w:div>
        <w:div w:id="973752566">
          <w:marLeft w:val="0"/>
          <w:marRight w:val="0"/>
          <w:marTop w:val="0"/>
          <w:marBottom w:val="0"/>
          <w:divBdr>
            <w:top w:val="none" w:sz="0" w:space="0" w:color="auto"/>
            <w:left w:val="none" w:sz="0" w:space="0" w:color="auto"/>
            <w:bottom w:val="none" w:sz="0" w:space="0" w:color="auto"/>
            <w:right w:val="none" w:sz="0" w:space="0" w:color="auto"/>
          </w:divBdr>
        </w:div>
        <w:div w:id="973752569">
          <w:marLeft w:val="0"/>
          <w:marRight w:val="0"/>
          <w:marTop w:val="0"/>
          <w:marBottom w:val="0"/>
          <w:divBdr>
            <w:top w:val="none" w:sz="0" w:space="0" w:color="auto"/>
            <w:left w:val="none" w:sz="0" w:space="0" w:color="auto"/>
            <w:bottom w:val="none" w:sz="0" w:space="0" w:color="auto"/>
            <w:right w:val="none" w:sz="0" w:space="0" w:color="auto"/>
          </w:divBdr>
        </w:div>
        <w:div w:id="973752571">
          <w:marLeft w:val="0"/>
          <w:marRight w:val="0"/>
          <w:marTop w:val="0"/>
          <w:marBottom w:val="0"/>
          <w:divBdr>
            <w:top w:val="none" w:sz="0" w:space="0" w:color="auto"/>
            <w:left w:val="none" w:sz="0" w:space="0" w:color="auto"/>
            <w:bottom w:val="none" w:sz="0" w:space="0" w:color="auto"/>
            <w:right w:val="none" w:sz="0" w:space="0" w:color="auto"/>
          </w:divBdr>
        </w:div>
        <w:div w:id="973752572">
          <w:marLeft w:val="0"/>
          <w:marRight w:val="0"/>
          <w:marTop w:val="0"/>
          <w:marBottom w:val="0"/>
          <w:divBdr>
            <w:top w:val="none" w:sz="0" w:space="0" w:color="auto"/>
            <w:left w:val="none" w:sz="0" w:space="0" w:color="auto"/>
            <w:bottom w:val="none" w:sz="0" w:space="0" w:color="auto"/>
            <w:right w:val="none" w:sz="0" w:space="0" w:color="auto"/>
          </w:divBdr>
        </w:div>
        <w:div w:id="973752575">
          <w:marLeft w:val="0"/>
          <w:marRight w:val="0"/>
          <w:marTop w:val="0"/>
          <w:marBottom w:val="0"/>
          <w:divBdr>
            <w:top w:val="none" w:sz="0" w:space="0" w:color="auto"/>
            <w:left w:val="none" w:sz="0" w:space="0" w:color="auto"/>
            <w:bottom w:val="none" w:sz="0" w:space="0" w:color="auto"/>
            <w:right w:val="none" w:sz="0" w:space="0" w:color="auto"/>
          </w:divBdr>
        </w:div>
        <w:div w:id="973752576">
          <w:marLeft w:val="0"/>
          <w:marRight w:val="0"/>
          <w:marTop w:val="0"/>
          <w:marBottom w:val="0"/>
          <w:divBdr>
            <w:top w:val="none" w:sz="0" w:space="0" w:color="auto"/>
            <w:left w:val="none" w:sz="0" w:space="0" w:color="auto"/>
            <w:bottom w:val="none" w:sz="0" w:space="0" w:color="auto"/>
            <w:right w:val="none" w:sz="0" w:space="0" w:color="auto"/>
          </w:divBdr>
        </w:div>
        <w:div w:id="973752577">
          <w:marLeft w:val="0"/>
          <w:marRight w:val="0"/>
          <w:marTop w:val="0"/>
          <w:marBottom w:val="0"/>
          <w:divBdr>
            <w:top w:val="none" w:sz="0" w:space="0" w:color="auto"/>
            <w:left w:val="none" w:sz="0" w:space="0" w:color="auto"/>
            <w:bottom w:val="none" w:sz="0" w:space="0" w:color="auto"/>
            <w:right w:val="none" w:sz="0" w:space="0" w:color="auto"/>
          </w:divBdr>
        </w:div>
        <w:div w:id="973752582">
          <w:marLeft w:val="0"/>
          <w:marRight w:val="0"/>
          <w:marTop w:val="0"/>
          <w:marBottom w:val="0"/>
          <w:divBdr>
            <w:top w:val="none" w:sz="0" w:space="0" w:color="auto"/>
            <w:left w:val="none" w:sz="0" w:space="0" w:color="auto"/>
            <w:bottom w:val="none" w:sz="0" w:space="0" w:color="auto"/>
            <w:right w:val="none" w:sz="0" w:space="0" w:color="auto"/>
          </w:divBdr>
        </w:div>
        <w:div w:id="973752583">
          <w:marLeft w:val="0"/>
          <w:marRight w:val="0"/>
          <w:marTop w:val="0"/>
          <w:marBottom w:val="0"/>
          <w:divBdr>
            <w:top w:val="none" w:sz="0" w:space="0" w:color="auto"/>
            <w:left w:val="none" w:sz="0" w:space="0" w:color="auto"/>
            <w:bottom w:val="none" w:sz="0" w:space="0" w:color="auto"/>
            <w:right w:val="none" w:sz="0" w:space="0" w:color="auto"/>
          </w:divBdr>
        </w:div>
        <w:div w:id="973752586">
          <w:marLeft w:val="0"/>
          <w:marRight w:val="0"/>
          <w:marTop w:val="0"/>
          <w:marBottom w:val="0"/>
          <w:divBdr>
            <w:top w:val="none" w:sz="0" w:space="0" w:color="auto"/>
            <w:left w:val="none" w:sz="0" w:space="0" w:color="auto"/>
            <w:bottom w:val="none" w:sz="0" w:space="0" w:color="auto"/>
            <w:right w:val="none" w:sz="0" w:space="0" w:color="auto"/>
          </w:divBdr>
        </w:div>
        <w:div w:id="973752587">
          <w:marLeft w:val="0"/>
          <w:marRight w:val="0"/>
          <w:marTop w:val="0"/>
          <w:marBottom w:val="0"/>
          <w:divBdr>
            <w:top w:val="none" w:sz="0" w:space="0" w:color="auto"/>
            <w:left w:val="none" w:sz="0" w:space="0" w:color="auto"/>
            <w:bottom w:val="none" w:sz="0" w:space="0" w:color="auto"/>
            <w:right w:val="none" w:sz="0" w:space="0" w:color="auto"/>
          </w:divBdr>
        </w:div>
        <w:div w:id="973752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unsam.edu.ar/escuelas/politica/Reglamento_de_Admisi%C3%B3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1281</Words>
  <Characters>7051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(Academic design)</dc:title>
  <dc:subject/>
  <dc:creator>Dani</dc:creator>
  <cp:keywords/>
  <dc:description/>
  <cp:lastModifiedBy>vicerrectorado</cp:lastModifiedBy>
  <cp:revision>2</cp:revision>
  <dcterms:created xsi:type="dcterms:W3CDTF">2013-09-20T18:32:00Z</dcterms:created>
  <dcterms:modified xsi:type="dcterms:W3CDTF">2013-09-20T18:32:00Z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TC100670369990</vt:lpwstr>
  </property>
</Properties>
</file>