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1D" w:rsidRPr="00DA7EAF" w:rsidRDefault="00F908CD" w:rsidP="000E1086">
      <w:pPr>
        <w:pBdr>
          <w:bottom w:val="single" w:sz="4" w:space="1" w:color="auto"/>
        </w:pBdr>
        <w:spacing w:after="0" w:line="36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DA7EAF">
        <w:rPr>
          <w:rFonts w:asciiTheme="minorHAnsi" w:hAnsiTheme="minorHAnsi"/>
          <w:b/>
          <w:sz w:val="28"/>
          <w:szCs w:val="28"/>
          <w:u w:val="single"/>
        </w:rPr>
        <w:t xml:space="preserve">INFORME SOBRE </w:t>
      </w:r>
      <w:r w:rsidR="008B488B" w:rsidRPr="00DA7EAF">
        <w:rPr>
          <w:rFonts w:asciiTheme="minorHAnsi" w:hAnsiTheme="minorHAnsi"/>
          <w:b/>
          <w:sz w:val="28"/>
          <w:szCs w:val="28"/>
          <w:u w:val="single"/>
        </w:rPr>
        <w:t xml:space="preserve">EL SISTEMA DE </w:t>
      </w:r>
      <w:r w:rsidRPr="00DA7EAF">
        <w:rPr>
          <w:rFonts w:asciiTheme="minorHAnsi" w:hAnsiTheme="minorHAnsi"/>
          <w:b/>
          <w:sz w:val="28"/>
          <w:szCs w:val="28"/>
          <w:u w:val="single"/>
        </w:rPr>
        <w:t>INGRESO</w:t>
      </w:r>
    </w:p>
    <w:p w:rsidR="00A929FC" w:rsidRPr="00725866" w:rsidRDefault="00A929FC" w:rsidP="00930740">
      <w:pPr>
        <w:pBdr>
          <w:bottom w:val="single" w:sz="4" w:space="1" w:color="auto"/>
        </w:pBdr>
        <w:spacing w:after="0" w:line="360" w:lineRule="auto"/>
        <w:rPr>
          <w:rFonts w:asciiTheme="minorHAnsi" w:hAnsiTheme="minorHAnsi"/>
          <w:b/>
          <w:caps/>
          <w:sz w:val="24"/>
          <w:szCs w:val="24"/>
          <w:u w:val="single"/>
        </w:rPr>
      </w:pPr>
      <w:r w:rsidRPr="00725866">
        <w:rPr>
          <w:rFonts w:asciiTheme="minorHAnsi" w:hAnsiTheme="minorHAnsi"/>
          <w:b/>
          <w:caps/>
          <w:sz w:val="24"/>
          <w:szCs w:val="24"/>
          <w:u w:val="single"/>
        </w:rPr>
        <w:t>Anexo I</w:t>
      </w:r>
    </w:p>
    <w:p w:rsidR="000E1086" w:rsidRDefault="00A929FC" w:rsidP="000E1086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CC101D">
        <w:rPr>
          <w:rFonts w:asciiTheme="minorHAnsi" w:hAnsiTheme="minorHAnsi"/>
          <w:sz w:val="24"/>
          <w:szCs w:val="24"/>
        </w:rPr>
        <w:t>Ficha para la presentación de la información sobre sistema de ingreso</w:t>
      </w:r>
    </w:p>
    <w:p w:rsidR="000E1086" w:rsidRPr="000E1086" w:rsidRDefault="000E1086" w:rsidP="000E1086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A929FC" w:rsidRPr="00DA7EAF" w:rsidRDefault="00A929FC" w:rsidP="00A929FC">
      <w:pPr>
        <w:numPr>
          <w:ilvl w:val="0"/>
          <w:numId w:val="1"/>
        </w:numPr>
        <w:spacing w:after="0" w:line="360" w:lineRule="auto"/>
        <w:rPr>
          <w:rFonts w:asciiTheme="minorHAnsi" w:hAnsiTheme="minorHAnsi"/>
          <w:b/>
          <w:i/>
          <w:sz w:val="24"/>
          <w:szCs w:val="24"/>
        </w:rPr>
      </w:pPr>
      <w:r w:rsidRPr="00CC101D">
        <w:rPr>
          <w:rFonts w:asciiTheme="minorHAnsi" w:hAnsiTheme="minorHAnsi"/>
          <w:b/>
          <w:i/>
          <w:sz w:val="24"/>
          <w:szCs w:val="24"/>
        </w:rPr>
        <w:t>Descripción del tramo ingreso</w:t>
      </w:r>
    </w:p>
    <w:tbl>
      <w:tblPr>
        <w:tblW w:w="103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6"/>
        <w:gridCol w:w="1248"/>
        <w:gridCol w:w="1587"/>
        <w:gridCol w:w="1248"/>
        <w:gridCol w:w="1417"/>
        <w:gridCol w:w="1446"/>
        <w:gridCol w:w="1984"/>
      </w:tblGrid>
      <w:tr w:rsidR="00F02A1C" w:rsidRPr="00CC101D" w:rsidTr="00DA7EAF">
        <w:tc>
          <w:tcPr>
            <w:tcW w:w="1446" w:type="dxa"/>
          </w:tcPr>
          <w:p w:rsidR="00A929FC" w:rsidRPr="00CC101D" w:rsidRDefault="00A929FC" w:rsidP="00C5046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101D">
              <w:rPr>
                <w:rFonts w:asciiTheme="minorHAnsi" w:hAnsiTheme="minorHAnsi"/>
                <w:b/>
                <w:sz w:val="20"/>
                <w:szCs w:val="20"/>
              </w:rPr>
              <w:t>Ubicación</w:t>
            </w:r>
          </w:p>
        </w:tc>
        <w:tc>
          <w:tcPr>
            <w:tcW w:w="1248" w:type="dxa"/>
          </w:tcPr>
          <w:p w:rsidR="00A929FC" w:rsidRPr="00CC101D" w:rsidRDefault="00A929FC" w:rsidP="00C5046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101D">
              <w:rPr>
                <w:rFonts w:asciiTheme="minorHAnsi" w:hAnsiTheme="minorHAnsi"/>
                <w:b/>
                <w:sz w:val="20"/>
                <w:szCs w:val="20"/>
              </w:rPr>
              <w:t>Currícula</w:t>
            </w:r>
          </w:p>
        </w:tc>
        <w:tc>
          <w:tcPr>
            <w:tcW w:w="1587" w:type="dxa"/>
          </w:tcPr>
          <w:p w:rsidR="00A929FC" w:rsidRPr="00CC101D" w:rsidRDefault="00A929FC" w:rsidP="00C5046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101D">
              <w:rPr>
                <w:rFonts w:asciiTheme="minorHAnsi" w:hAnsiTheme="minorHAnsi"/>
                <w:b/>
                <w:sz w:val="20"/>
                <w:szCs w:val="20"/>
              </w:rPr>
              <w:t>Modalidad</w:t>
            </w:r>
          </w:p>
        </w:tc>
        <w:tc>
          <w:tcPr>
            <w:tcW w:w="1248" w:type="dxa"/>
          </w:tcPr>
          <w:p w:rsidR="00A929FC" w:rsidRPr="00CC101D" w:rsidRDefault="00A929FC" w:rsidP="00C5046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101D">
              <w:rPr>
                <w:rFonts w:asciiTheme="minorHAnsi" w:hAnsiTheme="minorHAnsi"/>
                <w:b/>
                <w:sz w:val="20"/>
                <w:szCs w:val="20"/>
              </w:rPr>
              <w:t>Función</w:t>
            </w:r>
          </w:p>
        </w:tc>
        <w:tc>
          <w:tcPr>
            <w:tcW w:w="1417" w:type="dxa"/>
          </w:tcPr>
          <w:p w:rsidR="00A929FC" w:rsidRPr="00CC101D" w:rsidRDefault="00A929FC" w:rsidP="00C5046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101D">
              <w:rPr>
                <w:rFonts w:asciiTheme="minorHAnsi" w:hAnsiTheme="minorHAnsi"/>
                <w:b/>
                <w:sz w:val="20"/>
                <w:szCs w:val="20"/>
              </w:rPr>
              <w:t>Selectividad</w:t>
            </w:r>
          </w:p>
        </w:tc>
        <w:tc>
          <w:tcPr>
            <w:tcW w:w="1446" w:type="dxa"/>
          </w:tcPr>
          <w:p w:rsidR="00A929FC" w:rsidRPr="00CC101D" w:rsidRDefault="00A929FC" w:rsidP="00C5046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101D">
              <w:rPr>
                <w:rFonts w:asciiTheme="minorHAnsi" w:hAnsiTheme="minorHAnsi"/>
                <w:b/>
                <w:sz w:val="20"/>
                <w:szCs w:val="20"/>
              </w:rPr>
              <w:t>Duración (tiempo)</w:t>
            </w:r>
          </w:p>
        </w:tc>
        <w:tc>
          <w:tcPr>
            <w:tcW w:w="1984" w:type="dxa"/>
          </w:tcPr>
          <w:p w:rsidR="00A929FC" w:rsidRPr="00CC101D" w:rsidRDefault="00A929FC" w:rsidP="00C5046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101D">
              <w:rPr>
                <w:rFonts w:asciiTheme="minorHAnsi" w:hAnsiTheme="minorHAnsi"/>
                <w:b/>
                <w:sz w:val="20"/>
                <w:szCs w:val="20"/>
              </w:rPr>
              <w:t>Asignaturas que lo componen</w:t>
            </w:r>
          </w:p>
        </w:tc>
      </w:tr>
      <w:tr w:rsidR="00EC7595" w:rsidRPr="00CC101D" w:rsidTr="00DA7EAF">
        <w:tc>
          <w:tcPr>
            <w:tcW w:w="1446" w:type="dxa"/>
          </w:tcPr>
          <w:p w:rsidR="00A929FC" w:rsidRPr="00DA7EAF" w:rsidRDefault="00A929FC" w:rsidP="00C50462">
            <w:pPr>
              <w:spacing w:after="0"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DA7EAF">
              <w:rPr>
                <w:rFonts w:asciiTheme="minorHAnsi" w:hAnsiTheme="minorHAnsi"/>
                <w:b/>
                <w:sz w:val="18"/>
                <w:szCs w:val="18"/>
              </w:rPr>
              <w:t>Preuniversitario</w:t>
            </w:r>
          </w:p>
        </w:tc>
        <w:tc>
          <w:tcPr>
            <w:tcW w:w="1248" w:type="dxa"/>
          </w:tcPr>
          <w:p w:rsidR="00A929FC" w:rsidRPr="00CC101D" w:rsidRDefault="00A06CA8" w:rsidP="00AB51FC">
            <w:pPr>
              <w:spacing w:after="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101D">
              <w:rPr>
                <w:rFonts w:asciiTheme="minorHAnsi" w:hAnsiTheme="minorHAnsi"/>
                <w:b/>
                <w:sz w:val="20"/>
                <w:szCs w:val="20"/>
              </w:rPr>
              <w:t>Orientado</w:t>
            </w:r>
            <w:r w:rsidR="00AB51FC" w:rsidRPr="00CC101D">
              <w:rPr>
                <w:rStyle w:val="Refdenotaalpie"/>
                <w:rFonts w:asciiTheme="minorHAnsi" w:hAnsi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1587" w:type="dxa"/>
          </w:tcPr>
          <w:p w:rsidR="00F02A1C" w:rsidRPr="00CC101D" w:rsidRDefault="00F02A1C" w:rsidP="006134C5">
            <w:pPr>
              <w:spacing w:after="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101D">
              <w:rPr>
                <w:rFonts w:asciiTheme="minorHAnsi" w:hAnsiTheme="minorHAnsi"/>
                <w:b/>
                <w:sz w:val="20"/>
                <w:szCs w:val="20"/>
              </w:rPr>
              <w:t>Presencial</w:t>
            </w:r>
          </w:p>
          <w:p w:rsidR="005623EE" w:rsidRPr="00CC101D" w:rsidRDefault="009C4EFC" w:rsidP="006134C5">
            <w:pPr>
              <w:spacing w:after="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101D">
              <w:rPr>
                <w:rFonts w:asciiTheme="minorHAnsi" w:hAnsiTheme="minorHAnsi"/>
                <w:b/>
                <w:sz w:val="20"/>
                <w:szCs w:val="20"/>
              </w:rPr>
              <w:t>Semiprese</w:t>
            </w:r>
            <w:r w:rsidR="00CC101D">
              <w:rPr>
                <w:rFonts w:asciiTheme="minorHAnsi" w:hAnsiTheme="minorHAnsi"/>
                <w:b/>
                <w:sz w:val="20"/>
                <w:szCs w:val="20"/>
              </w:rPr>
              <w:t xml:space="preserve">ncial </w:t>
            </w:r>
            <w:r w:rsidR="00D85A28" w:rsidRPr="00CC101D">
              <w:rPr>
                <w:rStyle w:val="Refdenotaalpie"/>
                <w:rFonts w:asciiTheme="minorHAnsi" w:hAnsi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48" w:type="dxa"/>
          </w:tcPr>
          <w:p w:rsidR="006134C5" w:rsidRPr="00CC101D" w:rsidRDefault="006134C5" w:rsidP="006134C5">
            <w:pPr>
              <w:spacing w:after="0" w:line="360" w:lineRule="auto"/>
              <w:ind w:right="-516"/>
              <w:rPr>
                <w:rFonts w:asciiTheme="minorHAnsi" w:hAnsiTheme="minorHAnsi"/>
                <w:b/>
                <w:sz w:val="20"/>
                <w:szCs w:val="20"/>
              </w:rPr>
            </w:pPr>
            <w:r w:rsidRPr="00CC101D">
              <w:rPr>
                <w:rFonts w:asciiTheme="minorHAnsi" w:hAnsiTheme="minorHAnsi"/>
                <w:b/>
                <w:sz w:val="20"/>
                <w:szCs w:val="20"/>
              </w:rPr>
              <w:t xml:space="preserve">Orientación </w:t>
            </w:r>
          </w:p>
          <w:p w:rsidR="006134C5" w:rsidRPr="00CC101D" w:rsidRDefault="006134C5" w:rsidP="006134C5">
            <w:pPr>
              <w:spacing w:after="0" w:line="360" w:lineRule="auto"/>
              <w:ind w:right="-516"/>
              <w:rPr>
                <w:rFonts w:asciiTheme="minorHAnsi" w:hAnsiTheme="minorHAnsi"/>
                <w:b/>
                <w:sz w:val="20"/>
                <w:szCs w:val="20"/>
              </w:rPr>
            </w:pPr>
            <w:r w:rsidRPr="00CC101D">
              <w:rPr>
                <w:rFonts w:asciiTheme="minorHAnsi" w:hAnsiTheme="minorHAnsi"/>
                <w:b/>
                <w:sz w:val="20"/>
                <w:szCs w:val="20"/>
              </w:rPr>
              <w:t xml:space="preserve">Socialización </w:t>
            </w:r>
          </w:p>
          <w:p w:rsidR="00A929FC" w:rsidRPr="00CC101D" w:rsidRDefault="006134C5" w:rsidP="00CC101D">
            <w:pPr>
              <w:spacing w:after="0" w:line="360" w:lineRule="auto"/>
              <w:ind w:right="-516"/>
              <w:rPr>
                <w:rFonts w:asciiTheme="minorHAnsi" w:hAnsiTheme="minorHAnsi"/>
                <w:b/>
                <w:sz w:val="20"/>
                <w:szCs w:val="20"/>
              </w:rPr>
            </w:pPr>
            <w:r w:rsidRPr="00CC101D">
              <w:rPr>
                <w:rFonts w:asciiTheme="minorHAnsi" w:hAnsiTheme="minorHAnsi"/>
                <w:b/>
                <w:sz w:val="20"/>
                <w:szCs w:val="20"/>
              </w:rPr>
              <w:t>Articulación</w:t>
            </w:r>
            <w:r w:rsidR="00CC7371" w:rsidRPr="00CC101D">
              <w:rPr>
                <w:rStyle w:val="Refdenotaalpie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  <w:tc>
          <w:tcPr>
            <w:tcW w:w="1417" w:type="dxa"/>
          </w:tcPr>
          <w:p w:rsidR="009C4EFC" w:rsidRPr="00CC101D" w:rsidRDefault="00BC399A" w:rsidP="009C4EFC">
            <w:pPr>
              <w:spacing w:after="0" w:line="240" w:lineRule="auto"/>
              <w:ind w:right="-516"/>
              <w:rPr>
                <w:rFonts w:asciiTheme="minorHAnsi" w:hAnsiTheme="minorHAnsi"/>
                <w:b/>
                <w:sz w:val="20"/>
                <w:szCs w:val="20"/>
              </w:rPr>
            </w:pPr>
            <w:r w:rsidRPr="00CC101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101D">
              <w:rPr>
                <w:rFonts w:asciiTheme="minorHAnsi" w:hAnsiTheme="minorHAnsi"/>
                <w:b/>
                <w:sz w:val="20"/>
                <w:szCs w:val="20"/>
              </w:rPr>
              <w:t xml:space="preserve">Irrestricto </w:t>
            </w:r>
          </w:p>
          <w:p w:rsidR="00A929FC" w:rsidRPr="00CC101D" w:rsidRDefault="00BC399A" w:rsidP="00BC399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C101D">
              <w:rPr>
                <w:rFonts w:asciiTheme="minorHAnsi" w:hAnsiTheme="minorHAnsi"/>
                <w:sz w:val="20"/>
                <w:szCs w:val="20"/>
              </w:rPr>
              <w:t>Con particularidades en dos Facultades</w:t>
            </w:r>
            <w:r w:rsidR="00CC101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101D">
              <w:rPr>
                <w:rStyle w:val="Refdenotaalpie"/>
                <w:rFonts w:asciiTheme="minorHAnsi" w:hAnsiTheme="minorHAnsi"/>
                <w:sz w:val="20"/>
                <w:szCs w:val="20"/>
              </w:rPr>
              <w:footnoteReference w:id="4"/>
            </w:r>
          </w:p>
        </w:tc>
        <w:tc>
          <w:tcPr>
            <w:tcW w:w="1446" w:type="dxa"/>
          </w:tcPr>
          <w:p w:rsidR="00747D9F" w:rsidRPr="00CC101D" w:rsidRDefault="00747D9F" w:rsidP="00747D9F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101D">
              <w:rPr>
                <w:rFonts w:asciiTheme="minorHAnsi" w:hAnsiTheme="minorHAnsi"/>
                <w:b/>
                <w:sz w:val="20"/>
                <w:szCs w:val="20"/>
              </w:rPr>
              <w:t>Curso de Ingreso propia-</w:t>
            </w:r>
          </w:p>
          <w:p w:rsidR="00747D9F" w:rsidRPr="00CC101D" w:rsidRDefault="00747D9F" w:rsidP="00747D9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C101D">
              <w:rPr>
                <w:rFonts w:asciiTheme="minorHAnsi" w:hAnsiTheme="minorHAnsi"/>
                <w:b/>
                <w:sz w:val="20"/>
                <w:szCs w:val="20"/>
              </w:rPr>
              <w:t>mente dicho</w:t>
            </w:r>
            <w:r w:rsidRPr="00CC101D">
              <w:rPr>
                <w:rFonts w:asciiTheme="minorHAnsi" w:hAnsiTheme="minorHAnsi"/>
                <w:sz w:val="20"/>
                <w:szCs w:val="20"/>
              </w:rPr>
              <w:t>: primer día hábil de febrero a  marzo</w:t>
            </w:r>
            <w:r w:rsidR="00C666B3" w:rsidRPr="00CC101D">
              <w:rPr>
                <w:rFonts w:asciiTheme="minorHAnsi" w:hAnsiTheme="minorHAnsi"/>
                <w:sz w:val="20"/>
                <w:szCs w:val="20"/>
              </w:rPr>
              <w:t xml:space="preserve"> (seis semanas)</w:t>
            </w:r>
            <w:r w:rsidRPr="00CC101D"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A929FC" w:rsidRPr="00CC101D" w:rsidRDefault="00747D9F" w:rsidP="00747D9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C101D">
              <w:rPr>
                <w:rFonts w:asciiTheme="minorHAnsi" w:hAnsiTheme="minorHAnsi"/>
                <w:sz w:val="20"/>
                <w:szCs w:val="20"/>
              </w:rPr>
              <w:t>con 120 horas de duración</w:t>
            </w:r>
            <w:r w:rsidRPr="00CC101D">
              <w:rPr>
                <w:rStyle w:val="Refdenotaalpie"/>
                <w:rFonts w:asciiTheme="minorHAnsi" w:hAnsiTheme="minorHAnsi"/>
                <w:sz w:val="20"/>
                <w:szCs w:val="20"/>
              </w:rPr>
              <w:footnoteReference w:id="5"/>
            </w:r>
          </w:p>
        </w:tc>
        <w:tc>
          <w:tcPr>
            <w:tcW w:w="1984" w:type="dxa"/>
          </w:tcPr>
          <w:p w:rsidR="00A929FC" w:rsidRPr="00CC101D" w:rsidRDefault="007D22F9" w:rsidP="007D22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C101D">
              <w:rPr>
                <w:rFonts w:asciiTheme="minorHAnsi" w:hAnsiTheme="minorHAnsi"/>
                <w:sz w:val="20"/>
                <w:szCs w:val="20"/>
              </w:rPr>
              <w:t>Matemática</w:t>
            </w:r>
          </w:p>
          <w:p w:rsidR="007D22F9" w:rsidRPr="00CC101D" w:rsidRDefault="007D22F9" w:rsidP="007D22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C101D">
              <w:rPr>
                <w:rFonts w:asciiTheme="minorHAnsi" w:hAnsiTheme="minorHAnsi"/>
                <w:sz w:val="20"/>
                <w:szCs w:val="20"/>
              </w:rPr>
              <w:t>Física</w:t>
            </w:r>
          </w:p>
          <w:p w:rsidR="007D22F9" w:rsidRPr="00CC101D" w:rsidRDefault="007D22F9" w:rsidP="007D22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C101D">
              <w:rPr>
                <w:rFonts w:asciiTheme="minorHAnsi" w:hAnsiTheme="minorHAnsi"/>
                <w:sz w:val="20"/>
                <w:szCs w:val="20"/>
              </w:rPr>
              <w:t>Química</w:t>
            </w:r>
          </w:p>
          <w:p w:rsidR="007D22F9" w:rsidRPr="00CC101D" w:rsidRDefault="007D22F9" w:rsidP="007D22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C101D">
              <w:rPr>
                <w:rFonts w:asciiTheme="minorHAnsi" w:hAnsiTheme="minorHAnsi"/>
                <w:sz w:val="20"/>
                <w:szCs w:val="20"/>
              </w:rPr>
              <w:t>Biología</w:t>
            </w:r>
          </w:p>
          <w:p w:rsidR="007D22F9" w:rsidRPr="00CC101D" w:rsidRDefault="007D22F9" w:rsidP="007D22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C101D">
              <w:rPr>
                <w:rFonts w:asciiTheme="minorHAnsi" w:hAnsiTheme="minorHAnsi"/>
                <w:sz w:val="20"/>
                <w:szCs w:val="20"/>
              </w:rPr>
              <w:t>Administración</w:t>
            </w:r>
          </w:p>
          <w:p w:rsidR="007D22F9" w:rsidRPr="00CC101D" w:rsidRDefault="007D22F9" w:rsidP="007D22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C101D">
              <w:rPr>
                <w:rFonts w:asciiTheme="minorHAnsi" w:hAnsiTheme="minorHAnsi"/>
                <w:sz w:val="20"/>
                <w:szCs w:val="20"/>
              </w:rPr>
              <w:t>Contabilidad</w:t>
            </w:r>
          </w:p>
          <w:p w:rsidR="007D22F9" w:rsidRPr="00CC101D" w:rsidRDefault="007D22F9" w:rsidP="007D22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C101D">
              <w:rPr>
                <w:rFonts w:asciiTheme="minorHAnsi" w:hAnsiTheme="minorHAnsi"/>
                <w:sz w:val="20"/>
                <w:szCs w:val="20"/>
              </w:rPr>
              <w:t>Derecho</w:t>
            </w:r>
          </w:p>
          <w:p w:rsidR="007D22F9" w:rsidRPr="00CC101D" w:rsidRDefault="007D22F9" w:rsidP="007D22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C101D">
              <w:rPr>
                <w:rFonts w:asciiTheme="minorHAnsi" w:hAnsiTheme="minorHAnsi"/>
                <w:sz w:val="20"/>
                <w:szCs w:val="20"/>
              </w:rPr>
              <w:t>Economía</w:t>
            </w:r>
          </w:p>
          <w:p w:rsidR="007D22F9" w:rsidRPr="00CC101D" w:rsidRDefault="007326AB" w:rsidP="007D22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C101D">
              <w:rPr>
                <w:rFonts w:asciiTheme="minorHAnsi" w:hAnsiTheme="minorHAnsi"/>
                <w:sz w:val="20"/>
                <w:szCs w:val="20"/>
              </w:rPr>
              <w:t>Salud y Ambiente</w:t>
            </w:r>
          </w:p>
          <w:p w:rsidR="007326AB" w:rsidRPr="00CC101D" w:rsidRDefault="007326AB" w:rsidP="007D22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C101D">
              <w:rPr>
                <w:rFonts w:asciiTheme="minorHAnsi" w:hAnsiTheme="minorHAnsi"/>
                <w:sz w:val="20"/>
                <w:szCs w:val="20"/>
              </w:rPr>
              <w:t>Alimentación</w:t>
            </w:r>
          </w:p>
          <w:p w:rsidR="00C666B3" w:rsidRPr="00CC101D" w:rsidRDefault="00DA7EAF" w:rsidP="007D22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Las transforma</w:t>
            </w:r>
            <w:r w:rsidR="007326AB" w:rsidRPr="00CC101D">
              <w:rPr>
                <w:rFonts w:asciiTheme="minorHAnsi" w:hAnsiTheme="minorHAnsi"/>
                <w:sz w:val="20"/>
                <w:szCs w:val="20"/>
              </w:rPr>
              <w:t xml:space="preserve">ciones sociales del Siglo XX: las migraciones y la </w:t>
            </w:r>
            <w:r w:rsidR="007326AB" w:rsidRPr="00CC101D">
              <w:rPr>
                <w:rFonts w:asciiTheme="minorHAnsi" w:hAnsiTheme="minorHAnsi"/>
                <w:sz w:val="20"/>
                <w:szCs w:val="20"/>
              </w:rPr>
              <w:lastRenderedPageBreak/>
              <w:t>cuestión del otro.</w:t>
            </w:r>
            <w:r w:rsidR="00C666B3" w:rsidRPr="00CC101D">
              <w:rPr>
                <w:rFonts w:asciiTheme="minorHAnsi" w:hAnsiTheme="minorHAnsi"/>
                <w:sz w:val="20"/>
                <w:szCs w:val="20"/>
              </w:rPr>
              <w:t xml:space="preserve"> (Facultad </w:t>
            </w:r>
            <w:r w:rsidR="00921D5C" w:rsidRPr="00CC101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666B3" w:rsidRPr="00CC101D">
              <w:rPr>
                <w:rFonts w:asciiTheme="minorHAnsi" w:hAnsiTheme="minorHAnsi"/>
                <w:sz w:val="20"/>
                <w:szCs w:val="20"/>
              </w:rPr>
              <w:t>de Humanidades)</w:t>
            </w:r>
          </w:p>
          <w:p w:rsidR="007326AB" w:rsidRPr="00CC101D" w:rsidRDefault="00C666B3" w:rsidP="007D22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C101D">
              <w:rPr>
                <w:rFonts w:asciiTheme="minorHAnsi" w:hAnsiTheme="minorHAnsi"/>
                <w:sz w:val="20"/>
                <w:szCs w:val="20"/>
              </w:rPr>
              <w:t>Ejes t</w:t>
            </w:r>
            <w:r w:rsidR="007326AB" w:rsidRPr="00CC101D">
              <w:rPr>
                <w:rFonts w:asciiTheme="minorHAnsi" w:hAnsiTheme="minorHAnsi"/>
                <w:sz w:val="20"/>
                <w:szCs w:val="20"/>
              </w:rPr>
              <w:t>ransversal</w:t>
            </w:r>
            <w:r w:rsidRPr="00CC101D">
              <w:rPr>
                <w:rFonts w:asciiTheme="minorHAnsi" w:hAnsiTheme="minorHAnsi"/>
                <w:sz w:val="20"/>
                <w:szCs w:val="20"/>
              </w:rPr>
              <w:t>es</w:t>
            </w:r>
            <w:r w:rsidR="007326AB" w:rsidRPr="00CC101D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7326AB" w:rsidRPr="00CC101D" w:rsidRDefault="00DB7F49" w:rsidP="007D22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C101D">
              <w:rPr>
                <w:rFonts w:asciiTheme="minorHAnsi" w:hAnsiTheme="minorHAnsi"/>
                <w:sz w:val="20"/>
                <w:szCs w:val="20"/>
              </w:rPr>
              <w:t xml:space="preserve">Introducción a la </w:t>
            </w:r>
            <w:r w:rsidR="00F02A1C" w:rsidRPr="00CC101D">
              <w:rPr>
                <w:rFonts w:asciiTheme="minorHAnsi" w:hAnsiTheme="minorHAnsi"/>
                <w:sz w:val="20"/>
                <w:szCs w:val="20"/>
              </w:rPr>
              <w:t>V</w:t>
            </w:r>
            <w:r w:rsidR="007326AB" w:rsidRPr="00CC101D">
              <w:rPr>
                <w:rFonts w:asciiTheme="minorHAnsi" w:hAnsiTheme="minorHAnsi"/>
                <w:sz w:val="20"/>
                <w:szCs w:val="20"/>
              </w:rPr>
              <w:t>ida universitaria</w:t>
            </w:r>
          </w:p>
          <w:p w:rsidR="007326AB" w:rsidRPr="00CC101D" w:rsidRDefault="00F02A1C" w:rsidP="007D22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C101D">
              <w:rPr>
                <w:rFonts w:asciiTheme="minorHAnsi" w:hAnsiTheme="minorHAnsi"/>
                <w:sz w:val="20"/>
                <w:szCs w:val="20"/>
              </w:rPr>
              <w:t>Comprensión y producción de textos</w:t>
            </w:r>
          </w:p>
          <w:p w:rsidR="007326AB" w:rsidRPr="00CC101D" w:rsidRDefault="00F02A1C" w:rsidP="007D22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C101D">
              <w:rPr>
                <w:rFonts w:asciiTheme="minorHAnsi" w:hAnsiTheme="minorHAnsi"/>
                <w:sz w:val="20"/>
                <w:szCs w:val="20"/>
              </w:rPr>
              <w:t>Estrategias de aprendizaje</w:t>
            </w:r>
            <w:r w:rsidR="00A1229D" w:rsidRPr="00CC101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1229D" w:rsidRPr="00CC101D">
              <w:rPr>
                <w:rStyle w:val="Refdenotaalpie"/>
                <w:rFonts w:asciiTheme="minorHAnsi" w:hAnsiTheme="minorHAnsi"/>
                <w:sz w:val="20"/>
                <w:szCs w:val="20"/>
              </w:rPr>
              <w:footnoteReference w:id="6"/>
            </w:r>
          </w:p>
        </w:tc>
      </w:tr>
    </w:tbl>
    <w:p w:rsidR="00A929FC" w:rsidRDefault="00A929FC" w:rsidP="00A929FC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0E1086" w:rsidRPr="00CC101D" w:rsidRDefault="000E1086" w:rsidP="00A929FC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A929FC" w:rsidRPr="00DA7EAF" w:rsidRDefault="00A929FC" w:rsidP="00DA7EAF">
      <w:pPr>
        <w:pStyle w:val="Prrafodelista"/>
        <w:numPr>
          <w:ilvl w:val="0"/>
          <w:numId w:val="1"/>
        </w:numPr>
        <w:spacing w:after="0" w:line="360" w:lineRule="auto"/>
        <w:rPr>
          <w:rFonts w:asciiTheme="minorHAnsi" w:hAnsiTheme="minorHAnsi"/>
          <w:b/>
          <w:i/>
          <w:sz w:val="24"/>
          <w:szCs w:val="24"/>
        </w:rPr>
      </w:pPr>
      <w:r w:rsidRPr="00DA7EAF">
        <w:rPr>
          <w:rFonts w:asciiTheme="minorHAnsi" w:hAnsiTheme="minorHAnsi"/>
          <w:b/>
          <w:i/>
          <w:sz w:val="24"/>
          <w:szCs w:val="24"/>
        </w:rPr>
        <w:t>Presentación sintética de los fundamentos político-institucionales y pedagógicos que sustentan el tramo de ingreso. Citar algunas dimensiones en que se expresen estos fundamentos.</w:t>
      </w:r>
    </w:p>
    <w:p w:rsidR="000E1086" w:rsidRDefault="000E1086" w:rsidP="00DA7EAF">
      <w:pPr>
        <w:spacing w:after="0" w:line="288" w:lineRule="auto"/>
        <w:jc w:val="both"/>
        <w:rPr>
          <w:rFonts w:asciiTheme="minorHAnsi" w:hAnsiTheme="minorHAnsi"/>
          <w:sz w:val="24"/>
          <w:szCs w:val="24"/>
        </w:rPr>
      </w:pPr>
    </w:p>
    <w:p w:rsidR="00466DA7" w:rsidRPr="00CC101D" w:rsidRDefault="003315E5" w:rsidP="00DA7EAF">
      <w:pPr>
        <w:spacing w:after="0" w:line="288" w:lineRule="auto"/>
        <w:jc w:val="both"/>
        <w:rPr>
          <w:rFonts w:asciiTheme="minorHAnsi" w:hAnsiTheme="minorHAnsi"/>
          <w:sz w:val="24"/>
          <w:szCs w:val="24"/>
        </w:rPr>
      </w:pPr>
      <w:r w:rsidRPr="00CC101D">
        <w:rPr>
          <w:rFonts w:asciiTheme="minorHAnsi" w:hAnsiTheme="minorHAnsi"/>
          <w:sz w:val="24"/>
          <w:szCs w:val="24"/>
        </w:rPr>
        <w:tab/>
      </w:r>
      <w:r w:rsidR="00DB7F49" w:rsidRPr="00CC101D">
        <w:rPr>
          <w:rFonts w:asciiTheme="minorHAnsi" w:hAnsiTheme="minorHAnsi"/>
          <w:sz w:val="24"/>
          <w:szCs w:val="24"/>
        </w:rPr>
        <w:t>L</w:t>
      </w:r>
      <w:r w:rsidR="00466DA7" w:rsidRPr="00CC101D">
        <w:rPr>
          <w:rFonts w:asciiTheme="minorHAnsi" w:hAnsiTheme="minorHAnsi"/>
          <w:sz w:val="24"/>
          <w:szCs w:val="24"/>
        </w:rPr>
        <w:t xml:space="preserve">a ubicación geográfica </w:t>
      </w:r>
      <w:r w:rsidR="00DB7F49" w:rsidRPr="00CC101D">
        <w:rPr>
          <w:rFonts w:asciiTheme="minorHAnsi" w:hAnsiTheme="minorHAnsi"/>
          <w:sz w:val="24"/>
          <w:szCs w:val="24"/>
        </w:rPr>
        <w:t xml:space="preserve">y </w:t>
      </w:r>
      <w:r w:rsidR="00CC101D" w:rsidRPr="00CC101D">
        <w:rPr>
          <w:rFonts w:asciiTheme="minorHAnsi" w:hAnsiTheme="minorHAnsi"/>
          <w:sz w:val="24"/>
          <w:szCs w:val="24"/>
        </w:rPr>
        <w:t>la</w:t>
      </w:r>
      <w:r w:rsidR="00466DA7" w:rsidRPr="00CC101D">
        <w:rPr>
          <w:rFonts w:asciiTheme="minorHAnsi" w:hAnsiTheme="minorHAnsi"/>
          <w:sz w:val="24"/>
          <w:szCs w:val="24"/>
        </w:rPr>
        <w:t xml:space="preserve"> realidad demográfica </w:t>
      </w:r>
      <w:r w:rsidR="00C61F46" w:rsidRPr="00CC101D">
        <w:rPr>
          <w:rFonts w:asciiTheme="minorHAnsi" w:hAnsiTheme="minorHAnsi"/>
          <w:sz w:val="24"/>
          <w:szCs w:val="24"/>
        </w:rPr>
        <w:t xml:space="preserve">que contextualizan a la </w:t>
      </w:r>
      <w:r w:rsidR="00466DA7" w:rsidRPr="00CC101D">
        <w:rPr>
          <w:rFonts w:asciiTheme="minorHAnsi" w:hAnsiTheme="minorHAnsi"/>
          <w:sz w:val="24"/>
          <w:szCs w:val="24"/>
        </w:rPr>
        <w:t xml:space="preserve"> Universidad Nacional de Salta</w:t>
      </w:r>
      <w:r w:rsidR="00C61F46" w:rsidRPr="00CC101D">
        <w:rPr>
          <w:rFonts w:asciiTheme="minorHAnsi" w:hAnsiTheme="minorHAnsi"/>
          <w:sz w:val="24"/>
          <w:szCs w:val="24"/>
        </w:rPr>
        <w:t>,</w:t>
      </w:r>
      <w:r w:rsidR="00466DA7" w:rsidRPr="00CC101D">
        <w:rPr>
          <w:rFonts w:asciiTheme="minorHAnsi" w:hAnsiTheme="minorHAnsi"/>
          <w:sz w:val="24"/>
          <w:szCs w:val="24"/>
        </w:rPr>
        <w:t xml:space="preserve"> se constituyen en  factores que impactan fuertemente  sobre  </w:t>
      </w:r>
      <w:r w:rsidR="000D6764" w:rsidRPr="00CC101D">
        <w:rPr>
          <w:rFonts w:asciiTheme="minorHAnsi" w:hAnsiTheme="minorHAnsi"/>
          <w:sz w:val="24"/>
          <w:szCs w:val="24"/>
        </w:rPr>
        <w:t xml:space="preserve">el diseño de estrategias </w:t>
      </w:r>
      <w:r w:rsidR="00466DA7" w:rsidRPr="00CC101D">
        <w:rPr>
          <w:rFonts w:asciiTheme="minorHAnsi" w:hAnsiTheme="minorHAnsi"/>
          <w:sz w:val="24"/>
          <w:szCs w:val="24"/>
        </w:rPr>
        <w:t xml:space="preserve"> para atender las  problemáticas socio-económicas, de diversidad, masividad y  capitales culturales diferentes que dichos factores generan.  </w:t>
      </w:r>
    </w:p>
    <w:p w:rsidR="008B488B" w:rsidRPr="00CC101D" w:rsidRDefault="00466DA7" w:rsidP="00DA7EAF">
      <w:pPr>
        <w:spacing w:after="0" w:line="288" w:lineRule="auto"/>
        <w:jc w:val="both"/>
        <w:rPr>
          <w:rFonts w:asciiTheme="minorHAnsi" w:hAnsiTheme="minorHAnsi"/>
          <w:sz w:val="24"/>
          <w:szCs w:val="24"/>
          <w:lang w:val="es-CO"/>
        </w:rPr>
      </w:pPr>
      <w:r w:rsidRPr="00CC101D">
        <w:rPr>
          <w:rFonts w:asciiTheme="minorHAnsi" w:hAnsiTheme="minorHAnsi"/>
          <w:sz w:val="24"/>
          <w:szCs w:val="24"/>
        </w:rPr>
        <w:tab/>
      </w:r>
      <w:r w:rsidR="005545BC" w:rsidRPr="00CC101D">
        <w:rPr>
          <w:rFonts w:asciiTheme="minorHAnsi" w:hAnsiTheme="minorHAnsi"/>
          <w:sz w:val="24"/>
          <w:szCs w:val="24"/>
          <w:lang w:val="es-CO"/>
        </w:rPr>
        <w:t>Desde la década del 90, la Universidad Nacional de Salta  implement</w:t>
      </w:r>
      <w:r w:rsidR="009952E6" w:rsidRPr="00CC101D">
        <w:rPr>
          <w:rFonts w:asciiTheme="minorHAnsi" w:hAnsiTheme="minorHAnsi"/>
          <w:sz w:val="24"/>
          <w:szCs w:val="24"/>
          <w:lang w:val="es-CO"/>
        </w:rPr>
        <w:t>ó</w:t>
      </w:r>
      <w:r w:rsidR="005545BC" w:rsidRPr="00CC101D">
        <w:rPr>
          <w:rFonts w:asciiTheme="minorHAnsi" w:hAnsiTheme="minorHAnsi"/>
          <w:sz w:val="24"/>
          <w:szCs w:val="24"/>
          <w:lang w:val="es-CO"/>
        </w:rPr>
        <w:t xml:space="preserve"> diferentes mecanismos destinados a lograr el ingreso y la permanencia de los estudiantes en el Nivel Superior. Primordialmente se pretende impulsar, desde el momento del ingreso a la Universidad, una formación integral, para lo cual </w:t>
      </w:r>
      <w:r w:rsidR="000D6764" w:rsidRPr="00CC101D">
        <w:rPr>
          <w:rFonts w:asciiTheme="minorHAnsi" w:hAnsiTheme="minorHAnsi"/>
          <w:sz w:val="24"/>
          <w:szCs w:val="24"/>
          <w:lang w:val="es-CO"/>
        </w:rPr>
        <w:t xml:space="preserve">los estudiantes son </w:t>
      </w:r>
      <w:r w:rsidR="005545BC" w:rsidRPr="00CC101D">
        <w:rPr>
          <w:rFonts w:asciiTheme="minorHAnsi" w:hAnsiTheme="minorHAnsi"/>
          <w:sz w:val="24"/>
          <w:szCs w:val="24"/>
          <w:lang w:val="es-CO"/>
        </w:rPr>
        <w:t xml:space="preserve"> introducidos en competencias y en algunos temas fundamentales atinentes a grandes áreas del conocimiento científico y </w:t>
      </w:r>
      <w:r w:rsidR="006D5849" w:rsidRPr="00CC101D">
        <w:rPr>
          <w:rFonts w:asciiTheme="minorHAnsi" w:hAnsiTheme="minorHAnsi"/>
          <w:sz w:val="24"/>
          <w:szCs w:val="24"/>
          <w:lang w:val="es-CO"/>
        </w:rPr>
        <w:t xml:space="preserve">en </w:t>
      </w:r>
      <w:r w:rsidR="005545BC" w:rsidRPr="00CC101D">
        <w:rPr>
          <w:rFonts w:asciiTheme="minorHAnsi" w:hAnsiTheme="minorHAnsi"/>
          <w:sz w:val="24"/>
          <w:szCs w:val="24"/>
          <w:lang w:val="es-CO"/>
        </w:rPr>
        <w:t xml:space="preserve"> aquellos aspectos que orienten su comportamiento como ciudadanos.</w:t>
      </w:r>
      <w:r w:rsidR="00514550" w:rsidRPr="00CC101D">
        <w:rPr>
          <w:rFonts w:asciiTheme="minorHAnsi" w:hAnsiTheme="minorHAnsi"/>
          <w:sz w:val="24"/>
          <w:szCs w:val="24"/>
          <w:lang w:val="es-CO"/>
        </w:rPr>
        <w:t xml:space="preserve"> </w:t>
      </w:r>
    </w:p>
    <w:p w:rsidR="00DA7EAF" w:rsidRDefault="003315E5" w:rsidP="00DA7EAF">
      <w:pPr>
        <w:spacing w:after="0" w:line="288" w:lineRule="auto"/>
        <w:jc w:val="both"/>
        <w:rPr>
          <w:rFonts w:asciiTheme="minorHAnsi" w:hAnsiTheme="minorHAnsi"/>
          <w:sz w:val="24"/>
          <w:szCs w:val="24"/>
        </w:rPr>
      </w:pPr>
      <w:r w:rsidRPr="00CC101D">
        <w:rPr>
          <w:rFonts w:asciiTheme="minorHAnsi" w:hAnsiTheme="minorHAnsi"/>
          <w:sz w:val="24"/>
          <w:szCs w:val="24"/>
          <w:lang w:val="es-CO"/>
        </w:rPr>
        <w:tab/>
      </w:r>
      <w:r w:rsidR="00C61F46" w:rsidRPr="00CC101D">
        <w:rPr>
          <w:rFonts w:asciiTheme="minorHAnsi" w:hAnsiTheme="minorHAnsi"/>
          <w:sz w:val="24"/>
          <w:szCs w:val="24"/>
          <w:lang w:val="es-CO"/>
        </w:rPr>
        <w:t>El proyecto que</w:t>
      </w:r>
      <w:r w:rsidR="00BE5EBD" w:rsidRPr="00CC101D">
        <w:rPr>
          <w:rFonts w:asciiTheme="minorHAnsi" w:hAnsiTheme="minorHAnsi"/>
          <w:sz w:val="24"/>
          <w:szCs w:val="24"/>
          <w:lang w:val="es-CO"/>
        </w:rPr>
        <w:t xml:space="preserve"> </w:t>
      </w:r>
      <w:r w:rsidR="005545BC" w:rsidRPr="00CC101D">
        <w:rPr>
          <w:rFonts w:asciiTheme="minorHAnsi" w:hAnsiTheme="minorHAnsi"/>
          <w:sz w:val="24"/>
          <w:szCs w:val="24"/>
          <w:lang w:val="es-CO"/>
        </w:rPr>
        <w:t>se elabora</w:t>
      </w:r>
      <w:r w:rsidR="00CF1B71" w:rsidRPr="00CC101D">
        <w:rPr>
          <w:rFonts w:asciiTheme="minorHAnsi" w:hAnsiTheme="minorHAnsi"/>
          <w:sz w:val="24"/>
          <w:szCs w:val="24"/>
          <w:lang w:val="es-CO"/>
        </w:rPr>
        <w:t xml:space="preserve">, </w:t>
      </w:r>
      <w:r w:rsidRPr="00CC101D">
        <w:rPr>
          <w:rFonts w:asciiTheme="minorHAnsi" w:hAnsiTheme="minorHAnsi"/>
          <w:sz w:val="24"/>
          <w:szCs w:val="24"/>
          <w:lang w:val="es-CO"/>
        </w:rPr>
        <w:t xml:space="preserve"> </w:t>
      </w:r>
      <w:r w:rsidR="005545BC" w:rsidRPr="00CC101D">
        <w:rPr>
          <w:rFonts w:asciiTheme="minorHAnsi" w:hAnsiTheme="minorHAnsi"/>
          <w:sz w:val="24"/>
          <w:szCs w:val="24"/>
          <w:lang w:val="es-CO"/>
        </w:rPr>
        <w:t xml:space="preserve"> toma como antecedentes los resultados de experiencias previas de ingreso universitario, sobre todo algunos datos de relevancia de la evaluación de</w:t>
      </w:r>
      <w:r w:rsidRPr="00CC101D">
        <w:rPr>
          <w:rFonts w:asciiTheme="minorHAnsi" w:hAnsiTheme="minorHAnsi"/>
          <w:sz w:val="24"/>
          <w:szCs w:val="24"/>
          <w:lang w:val="es-CO"/>
        </w:rPr>
        <w:t xml:space="preserve"> </w:t>
      </w:r>
      <w:r w:rsidR="005545BC" w:rsidRPr="00CC101D">
        <w:rPr>
          <w:rFonts w:asciiTheme="minorHAnsi" w:hAnsiTheme="minorHAnsi"/>
          <w:sz w:val="24"/>
          <w:szCs w:val="24"/>
          <w:lang w:val="es-CO"/>
        </w:rPr>
        <w:t>l</w:t>
      </w:r>
      <w:r w:rsidRPr="00CC101D">
        <w:rPr>
          <w:rFonts w:asciiTheme="minorHAnsi" w:hAnsiTheme="minorHAnsi"/>
          <w:sz w:val="24"/>
          <w:szCs w:val="24"/>
          <w:lang w:val="es-CO"/>
        </w:rPr>
        <w:t>os</w:t>
      </w:r>
      <w:r w:rsidR="005545BC" w:rsidRPr="00CC101D">
        <w:rPr>
          <w:rFonts w:asciiTheme="minorHAnsi" w:hAnsiTheme="minorHAnsi"/>
          <w:sz w:val="24"/>
          <w:szCs w:val="24"/>
          <w:lang w:val="es-CO"/>
        </w:rPr>
        <w:t xml:space="preserve"> CIU </w:t>
      </w:r>
      <w:r w:rsidRPr="00CC101D">
        <w:rPr>
          <w:rFonts w:asciiTheme="minorHAnsi" w:hAnsiTheme="minorHAnsi"/>
          <w:sz w:val="24"/>
          <w:szCs w:val="24"/>
          <w:lang w:val="es-CO"/>
        </w:rPr>
        <w:t>anteriores.</w:t>
      </w:r>
      <w:r w:rsidR="005545BC" w:rsidRPr="00CC101D">
        <w:rPr>
          <w:rFonts w:asciiTheme="minorHAnsi" w:hAnsiTheme="minorHAnsi"/>
          <w:sz w:val="24"/>
          <w:szCs w:val="24"/>
          <w:lang w:val="es-CO"/>
        </w:rPr>
        <w:t xml:space="preserve"> </w:t>
      </w:r>
      <w:r w:rsidR="006D5849" w:rsidRPr="00CC101D">
        <w:rPr>
          <w:rFonts w:asciiTheme="minorHAnsi" w:hAnsiTheme="minorHAnsi"/>
          <w:sz w:val="24"/>
          <w:szCs w:val="24"/>
        </w:rPr>
        <w:t xml:space="preserve">En sus  fundamentos  plantea el desafío  de resolver la tensión entre masividad y calidad subyacente en el Nivel Superior y de democratizar este nivel sustentando una política de inclusión que procure la igualdad de oportunidades y  posibilite el acceso, la permanencia y egreso de los estudiantes, cuestión que se constituye en determinante al momento de pensar, formular los propósitos y diseñar las acciones para el Curso de Ingreso a la Universidad. También en este marco, se tiene en cuenta  la exigencia de fortalecer el </w:t>
      </w:r>
      <w:r w:rsidR="006D5849" w:rsidRPr="00CC101D">
        <w:rPr>
          <w:rFonts w:asciiTheme="minorHAnsi" w:hAnsiTheme="minorHAnsi"/>
          <w:b/>
          <w:sz w:val="24"/>
          <w:szCs w:val="24"/>
        </w:rPr>
        <w:t>proceso de articulación</w:t>
      </w:r>
      <w:r w:rsidR="006D5849" w:rsidRPr="00CC101D">
        <w:rPr>
          <w:rFonts w:asciiTheme="minorHAnsi" w:hAnsiTheme="minorHAnsi"/>
          <w:sz w:val="24"/>
          <w:szCs w:val="24"/>
        </w:rPr>
        <w:t xml:space="preserve"> establecido entre la Universidad y la Escuela Sec</w:t>
      </w:r>
      <w:r w:rsidR="008B488B" w:rsidRPr="00CC101D">
        <w:rPr>
          <w:rFonts w:asciiTheme="minorHAnsi" w:hAnsiTheme="minorHAnsi"/>
          <w:sz w:val="24"/>
          <w:szCs w:val="24"/>
        </w:rPr>
        <w:t xml:space="preserve">undaria </w:t>
      </w:r>
      <w:r w:rsidR="006D5849" w:rsidRPr="00CC101D">
        <w:rPr>
          <w:rFonts w:asciiTheme="minorHAnsi" w:hAnsiTheme="minorHAnsi"/>
          <w:sz w:val="24"/>
          <w:szCs w:val="24"/>
        </w:rPr>
        <w:t xml:space="preserve">tendiente a mejorar el desempeño de los alumnos ingresantes, </w:t>
      </w:r>
      <w:r w:rsidR="000D6764" w:rsidRPr="00CC101D">
        <w:rPr>
          <w:rFonts w:asciiTheme="minorHAnsi" w:hAnsiTheme="minorHAnsi"/>
          <w:sz w:val="24"/>
          <w:szCs w:val="24"/>
        </w:rPr>
        <w:t xml:space="preserve">además </w:t>
      </w:r>
      <w:r w:rsidR="006D5849" w:rsidRPr="00CC101D">
        <w:rPr>
          <w:rFonts w:asciiTheme="minorHAnsi" w:hAnsiTheme="minorHAnsi"/>
          <w:sz w:val="24"/>
          <w:szCs w:val="24"/>
        </w:rPr>
        <w:t xml:space="preserve"> de consolidar el  </w:t>
      </w:r>
      <w:r w:rsidR="006D5849" w:rsidRPr="00CC101D">
        <w:rPr>
          <w:rFonts w:asciiTheme="minorHAnsi" w:hAnsiTheme="minorHAnsi"/>
          <w:b/>
          <w:sz w:val="24"/>
          <w:szCs w:val="24"/>
        </w:rPr>
        <w:t>trabajo de los equipos tutoriales</w:t>
      </w:r>
      <w:r w:rsidR="006D5849" w:rsidRPr="00CC101D">
        <w:rPr>
          <w:rFonts w:asciiTheme="minorHAnsi" w:hAnsiTheme="minorHAnsi"/>
          <w:sz w:val="24"/>
          <w:szCs w:val="24"/>
        </w:rPr>
        <w:t xml:space="preserve"> de la Universidad.</w:t>
      </w:r>
    </w:p>
    <w:p w:rsidR="00DA7EAF" w:rsidRDefault="00FB1CAB" w:rsidP="00DA7EAF">
      <w:pPr>
        <w:spacing w:after="0" w:line="288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CC101D">
        <w:rPr>
          <w:rFonts w:asciiTheme="minorHAnsi" w:hAnsiTheme="minorHAnsi"/>
          <w:sz w:val="24"/>
          <w:szCs w:val="24"/>
        </w:rPr>
        <w:t>Se p</w:t>
      </w:r>
      <w:r w:rsidR="00BE5EBD" w:rsidRPr="00CC101D">
        <w:rPr>
          <w:rFonts w:asciiTheme="minorHAnsi" w:hAnsiTheme="minorHAnsi"/>
          <w:sz w:val="24"/>
          <w:szCs w:val="24"/>
        </w:rPr>
        <w:t xml:space="preserve">ropone </w:t>
      </w:r>
      <w:r w:rsidRPr="00CC101D">
        <w:rPr>
          <w:rFonts w:asciiTheme="minorHAnsi" w:hAnsiTheme="minorHAnsi"/>
          <w:sz w:val="24"/>
          <w:szCs w:val="24"/>
        </w:rPr>
        <w:t xml:space="preserve"> un curso de ingreso de carácter procesual, organizado en torno a una propuesta pedagógica que tiene en cuenta el perfil del ingresante</w:t>
      </w:r>
      <w:r w:rsidR="00FB3AA1" w:rsidRPr="00CC101D">
        <w:rPr>
          <w:rFonts w:asciiTheme="minorHAnsi" w:hAnsiTheme="minorHAnsi"/>
          <w:sz w:val="24"/>
          <w:szCs w:val="24"/>
        </w:rPr>
        <w:t xml:space="preserve">, </w:t>
      </w:r>
      <w:r w:rsidR="00AD1F5B" w:rsidRPr="00CC101D">
        <w:rPr>
          <w:rFonts w:asciiTheme="minorHAnsi" w:hAnsiTheme="minorHAnsi"/>
          <w:sz w:val="24"/>
          <w:szCs w:val="24"/>
        </w:rPr>
        <w:t xml:space="preserve"> y</w:t>
      </w:r>
      <w:r w:rsidRPr="00CC101D">
        <w:rPr>
          <w:rFonts w:asciiTheme="minorHAnsi" w:hAnsiTheme="minorHAnsi"/>
          <w:sz w:val="24"/>
          <w:szCs w:val="24"/>
        </w:rPr>
        <w:t xml:space="preserve"> distintas alternativas y</w:t>
      </w:r>
      <w:r w:rsidR="006D5849" w:rsidRPr="00CC101D">
        <w:rPr>
          <w:rFonts w:asciiTheme="minorHAnsi" w:hAnsiTheme="minorHAnsi"/>
          <w:sz w:val="24"/>
          <w:szCs w:val="24"/>
        </w:rPr>
        <w:t xml:space="preserve"> </w:t>
      </w:r>
      <w:r w:rsidR="00FD024B" w:rsidRPr="00CC101D">
        <w:rPr>
          <w:rFonts w:asciiTheme="minorHAnsi" w:hAnsiTheme="minorHAnsi"/>
          <w:sz w:val="24"/>
          <w:szCs w:val="24"/>
        </w:rPr>
        <w:t xml:space="preserve"> </w:t>
      </w:r>
      <w:r w:rsidRPr="00CC101D">
        <w:rPr>
          <w:rFonts w:asciiTheme="minorHAnsi" w:hAnsiTheme="minorHAnsi"/>
          <w:sz w:val="24"/>
          <w:szCs w:val="24"/>
        </w:rPr>
        <w:t xml:space="preserve">recursos disponibles para </w:t>
      </w:r>
      <w:r w:rsidRPr="00CC101D">
        <w:rPr>
          <w:rFonts w:asciiTheme="minorHAnsi" w:hAnsiTheme="minorHAnsi"/>
          <w:sz w:val="24"/>
          <w:szCs w:val="24"/>
        </w:rPr>
        <w:lastRenderedPageBreak/>
        <w:t>lograr</w:t>
      </w:r>
      <w:r w:rsidR="002F23F6" w:rsidRPr="00CC101D">
        <w:rPr>
          <w:rFonts w:asciiTheme="minorHAnsi" w:hAnsiTheme="minorHAnsi"/>
          <w:sz w:val="24"/>
          <w:szCs w:val="24"/>
        </w:rPr>
        <w:t xml:space="preserve"> </w:t>
      </w:r>
      <w:r w:rsidRPr="00CC101D">
        <w:rPr>
          <w:rFonts w:asciiTheme="minorHAnsi" w:hAnsiTheme="minorHAnsi"/>
          <w:sz w:val="24"/>
          <w:szCs w:val="24"/>
        </w:rPr>
        <w:t>mayor eficacia. Este proceso se inicia con actividades  concretas de articulación destinadas a fortalecer la formación de los estudiantes del último año del Secundario y se extiende a todo el primer año.</w:t>
      </w:r>
    </w:p>
    <w:p w:rsidR="00DA7EAF" w:rsidRPr="00CC101D" w:rsidRDefault="00BE5EBD" w:rsidP="00DA7EAF">
      <w:pPr>
        <w:spacing w:after="0" w:line="288" w:lineRule="auto"/>
        <w:ind w:firstLine="351"/>
        <w:jc w:val="both"/>
        <w:rPr>
          <w:rFonts w:asciiTheme="minorHAnsi" w:hAnsiTheme="minorHAnsi"/>
          <w:sz w:val="24"/>
          <w:szCs w:val="24"/>
        </w:rPr>
      </w:pPr>
      <w:r w:rsidRPr="00CC101D">
        <w:rPr>
          <w:rFonts w:asciiTheme="minorHAnsi" w:hAnsiTheme="minorHAnsi"/>
          <w:sz w:val="24"/>
          <w:szCs w:val="24"/>
        </w:rPr>
        <w:t>Desde esta perspectiva</w:t>
      </w:r>
      <w:r w:rsidR="00CE6064" w:rsidRPr="00CC101D">
        <w:rPr>
          <w:rFonts w:asciiTheme="minorHAnsi" w:hAnsiTheme="minorHAnsi"/>
          <w:sz w:val="24"/>
          <w:szCs w:val="24"/>
        </w:rPr>
        <w:t>,</w:t>
      </w:r>
      <w:r w:rsidRPr="00CC101D">
        <w:rPr>
          <w:rFonts w:asciiTheme="minorHAnsi" w:hAnsiTheme="minorHAnsi"/>
          <w:sz w:val="24"/>
          <w:szCs w:val="24"/>
        </w:rPr>
        <w:t xml:space="preserve"> </w:t>
      </w:r>
      <w:r w:rsidR="00CE6064" w:rsidRPr="00CC101D">
        <w:rPr>
          <w:rFonts w:asciiTheme="minorHAnsi" w:hAnsiTheme="minorHAnsi"/>
          <w:sz w:val="24"/>
          <w:szCs w:val="24"/>
        </w:rPr>
        <w:t xml:space="preserve"> tienen relevancia no sólo los conocimientos con que los alumnos egresan del secundario, sino también el desar</w:t>
      </w:r>
      <w:r w:rsidR="00725866">
        <w:rPr>
          <w:rFonts w:asciiTheme="minorHAnsi" w:hAnsiTheme="minorHAnsi"/>
          <w:sz w:val="24"/>
          <w:szCs w:val="24"/>
        </w:rPr>
        <w:t>rollo de modalidades de estudio</w:t>
      </w:r>
      <w:r w:rsidR="00CE6064" w:rsidRPr="00CC101D">
        <w:rPr>
          <w:rFonts w:asciiTheme="minorHAnsi" w:hAnsiTheme="minorHAnsi"/>
          <w:sz w:val="24"/>
          <w:szCs w:val="24"/>
        </w:rPr>
        <w:t xml:space="preserve"> y dominio de competencias orales y escritas</w:t>
      </w:r>
      <w:r w:rsidR="00AD1F5B" w:rsidRPr="00CC101D">
        <w:rPr>
          <w:rFonts w:asciiTheme="minorHAnsi" w:hAnsiTheme="minorHAnsi"/>
          <w:sz w:val="24"/>
          <w:szCs w:val="24"/>
        </w:rPr>
        <w:t xml:space="preserve"> que </w:t>
      </w:r>
      <w:r w:rsidR="00874C20" w:rsidRPr="00CC101D">
        <w:rPr>
          <w:rFonts w:asciiTheme="minorHAnsi" w:hAnsiTheme="minorHAnsi"/>
          <w:sz w:val="24"/>
          <w:szCs w:val="24"/>
        </w:rPr>
        <w:t xml:space="preserve">demandan instalar </w:t>
      </w:r>
      <w:r w:rsidR="00725866">
        <w:rPr>
          <w:rFonts w:asciiTheme="minorHAnsi" w:hAnsiTheme="minorHAnsi"/>
          <w:sz w:val="24"/>
          <w:szCs w:val="24"/>
        </w:rPr>
        <w:t>diversos dispositivos</w:t>
      </w:r>
      <w:r w:rsidRPr="00CC101D">
        <w:rPr>
          <w:rFonts w:asciiTheme="minorHAnsi" w:hAnsiTheme="minorHAnsi"/>
          <w:sz w:val="24"/>
          <w:szCs w:val="24"/>
        </w:rPr>
        <w:t xml:space="preserve"> para </w:t>
      </w:r>
      <w:r w:rsidR="00725866">
        <w:rPr>
          <w:rFonts w:asciiTheme="minorHAnsi" w:hAnsiTheme="minorHAnsi"/>
          <w:sz w:val="24"/>
          <w:szCs w:val="24"/>
        </w:rPr>
        <w:t xml:space="preserve">mejorar la formación de base </w:t>
      </w:r>
      <w:r w:rsidRPr="00CC101D">
        <w:rPr>
          <w:rFonts w:asciiTheme="minorHAnsi" w:hAnsiTheme="minorHAnsi"/>
          <w:sz w:val="24"/>
          <w:szCs w:val="24"/>
        </w:rPr>
        <w:t>de los alumnos ingresantes</w:t>
      </w:r>
      <w:r w:rsidR="00DA7EAF">
        <w:rPr>
          <w:rFonts w:asciiTheme="minorHAnsi" w:hAnsiTheme="minorHAnsi"/>
          <w:sz w:val="24"/>
          <w:szCs w:val="24"/>
        </w:rPr>
        <w:t>.</w:t>
      </w:r>
    </w:p>
    <w:p w:rsidR="000E1086" w:rsidRDefault="000E1086" w:rsidP="00725866">
      <w:pPr>
        <w:spacing w:after="0" w:line="288" w:lineRule="auto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A929FC" w:rsidRPr="00725866" w:rsidRDefault="00A929FC" w:rsidP="00725866">
      <w:pPr>
        <w:pStyle w:val="Prrafodelista"/>
        <w:numPr>
          <w:ilvl w:val="0"/>
          <w:numId w:val="1"/>
        </w:numPr>
        <w:spacing w:after="0" w:line="288" w:lineRule="auto"/>
        <w:jc w:val="both"/>
        <w:rPr>
          <w:rFonts w:asciiTheme="minorHAnsi" w:hAnsiTheme="minorHAnsi"/>
          <w:b/>
          <w:i/>
          <w:sz w:val="24"/>
          <w:szCs w:val="24"/>
        </w:rPr>
      </w:pPr>
      <w:r w:rsidRPr="00725866">
        <w:rPr>
          <w:rFonts w:asciiTheme="minorHAnsi" w:hAnsiTheme="minorHAnsi"/>
          <w:b/>
          <w:i/>
          <w:sz w:val="24"/>
          <w:szCs w:val="24"/>
        </w:rPr>
        <w:t>Breve evaluación del tramo de ingreso.</w:t>
      </w:r>
    </w:p>
    <w:p w:rsidR="000E1086" w:rsidRDefault="000E1086" w:rsidP="00725866">
      <w:pPr>
        <w:spacing w:after="0" w:line="288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CF1B71" w:rsidRDefault="00EE32D9" w:rsidP="00725866">
      <w:pPr>
        <w:spacing w:after="0" w:line="288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0E1086">
        <w:rPr>
          <w:rFonts w:asciiTheme="minorHAnsi" w:hAnsiTheme="minorHAnsi"/>
          <w:b/>
          <w:sz w:val="24"/>
          <w:szCs w:val="24"/>
          <w:u w:val="single"/>
        </w:rPr>
        <w:t>Puntos críticos</w:t>
      </w:r>
      <w:r w:rsidR="000E1086">
        <w:rPr>
          <w:rFonts w:asciiTheme="minorHAnsi" w:hAnsiTheme="minorHAnsi"/>
          <w:b/>
          <w:sz w:val="24"/>
          <w:szCs w:val="24"/>
          <w:u w:val="single"/>
        </w:rPr>
        <w:t>:</w:t>
      </w:r>
    </w:p>
    <w:p w:rsidR="000E1086" w:rsidRPr="000E1086" w:rsidRDefault="000E1086" w:rsidP="00725866">
      <w:pPr>
        <w:spacing w:after="0" w:line="288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FE2E11" w:rsidRPr="00CC101D" w:rsidRDefault="000E1086" w:rsidP="00725866">
      <w:pPr>
        <w:pStyle w:val="Prrafodelista"/>
        <w:spacing w:after="0" w:line="288" w:lineRule="auto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1.- </w:t>
      </w:r>
      <w:r w:rsidR="00FE2E11" w:rsidRPr="00CC101D">
        <w:rPr>
          <w:rFonts w:asciiTheme="minorHAnsi" w:hAnsiTheme="minorHAnsi"/>
          <w:b/>
          <w:sz w:val="24"/>
          <w:szCs w:val="24"/>
        </w:rPr>
        <w:t>Transitoriedad de los equipos de ingreso, lo que impide</w:t>
      </w:r>
      <w:r w:rsidR="00FE2E11" w:rsidRPr="00CC101D">
        <w:rPr>
          <w:rFonts w:asciiTheme="minorHAnsi" w:hAnsiTheme="minorHAnsi"/>
          <w:sz w:val="24"/>
          <w:szCs w:val="24"/>
        </w:rPr>
        <w:t>:</w:t>
      </w:r>
    </w:p>
    <w:p w:rsidR="000E1086" w:rsidRDefault="00FE2E11" w:rsidP="00725866">
      <w:pPr>
        <w:pStyle w:val="Prrafodelista"/>
        <w:numPr>
          <w:ilvl w:val="0"/>
          <w:numId w:val="13"/>
        </w:numPr>
        <w:spacing w:after="0" w:line="288" w:lineRule="auto"/>
        <w:jc w:val="both"/>
        <w:rPr>
          <w:rFonts w:asciiTheme="minorHAnsi" w:hAnsiTheme="minorHAnsi"/>
          <w:sz w:val="24"/>
          <w:szCs w:val="24"/>
        </w:rPr>
      </w:pPr>
      <w:r w:rsidRPr="00CC101D">
        <w:rPr>
          <w:rFonts w:asciiTheme="minorHAnsi" w:hAnsiTheme="minorHAnsi"/>
          <w:sz w:val="24"/>
          <w:szCs w:val="24"/>
        </w:rPr>
        <w:t>Capitalizar las experiencias desarrolladas.</w:t>
      </w:r>
    </w:p>
    <w:p w:rsidR="000E1086" w:rsidRDefault="00FE2E11" w:rsidP="00725866">
      <w:pPr>
        <w:pStyle w:val="Prrafodelista"/>
        <w:numPr>
          <w:ilvl w:val="0"/>
          <w:numId w:val="13"/>
        </w:numPr>
        <w:spacing w:after="0" w:line="288" w:lineRule="auto"/>
        <w:jc w:val="both"/>
        <w:rPr>
          <w:rFonts w:asciiTheme="minorHAnsi" w:hAnsiTheme="minorHAnsi"/>
          <w:sz w:val="24"/>
          <w:szCs w:val="24"/>
        </w:rPr>
      </w:pPr>
      <w:r w:rsidRPr="000E1086">
        <w:rPr>
          <w:rFonts w:asciiTheme="minorHAnsi" w:hAnsiTheme="minorHAnsi"/>
          <w:sz w:val="24"/>
          <w:szCs w:val="24"/>
        </w:rPr>
        <w:t>Planificar tempranamente acciones de articulación con la Escuela Media.</w:t>
      </w:r>
    </w:p>
    <w:p w:rsidR="000E1086" w:rsidRDefault="00FE2E11" w:rsidP="00725866">
      <w:pPr>
        <w:pStyle w:val="Prrafodelista"/>
        <w:numPr>
          <w:ilvl w:val="0"/>
          <w:numId w:val="13"/>
        </w:numPr>
        <w:spacing w:after="0" w:line="288" w:lineRule="auto"/>
        <w:jc w:val="both"/>
        <w:rPr>
          <w:rFonts w:asciiTheme="minorHAnsi" w:hAnsiTheme="minorHAnsi"/>
          <w:sz w:val="24"/>
          <w:szCs w:val="24"/>
        </w:rPr>
      </w:pPr>
      <w:r w:rsidRPr="000E1086">
        <w:rPr>
          <w:rFonts w:asciiTheme="minorHAnsi" w:hAnsiTheme="minorHAnsi"/>
          <w:sz w:val="24"/>
          <w:szCs w:val="24"/>
        </w:rPr>
        <w:t>Diseñar materiales, propuestas didácticas y de evaluación.</w:t>
      </w:r>
    </w:p>
    <w:p w:rsidR="000D2D31" w:rsidRPr="000E1086" w:rsidRDefault="000D2D31" w:rsidP="00725866">
      <w:pPr>
        <w:pStyle w:val="Prrafodelista"/>
        <w:numPr>
          <w:ilvl w:val="0"/>
          <w:numId w:val="13"/>
        </w:numPr>
        <w:spacing w:after="0" w:line="288" w:lineRule="auto"/>
        <w:jc w:val="both"/>
        <w:rPr>
          <w:rFonts w:asciiTheme="minorHAnsi" w:hAnsiTheme="minorHAnsi"/>
          <w:sz w:val="24"/>
          <w:szCs w:val="24"/>
        </w:rPr>
      </w:pPr>
      <w:r w:rsidRPr="000E1086">
        <w:rPr>
          <w:rFonts w:asciiTheme="minorHAnsi" w:hAnsiTheme="minorHAnsi"/>
          <w:sz w:val="24"/>
          <w:szCs w:val="24"/>
        </w:rPr>
        <w:t>Evaluar el impacto del curso.</w:t>
      </w:r>
    </w:p>
    <w:p w:rsidR="000E1086" w:rsidRDefault="000E1086" w:rsidP="00725866">
      <w:pPr>
        <w:pStyle w:val="Prrafodelista"/>
        <w:spacing w:after="0" w:line="288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</w:p>
    <w:p w:rsidR="00BF68A7" w:rsidRPr="00CC101D" w:rsidRDefault="000E1086" w:rsidP="00725866">
      <w:pPr>
        <w:pStyle w:val="Prrafodelista"/>
        <w:spacing w:after="0" w:line="288" w:lineRule="auto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2.- </w:t>
      </w:r>
      <w:r w:rsidR="00BF68A7" w:rsidRPr="00CC101D">
        <w:rPr>
          <w:rFonts w:asciiTheme="minorHAnsi" w:hAnsiTheme="minorHAnsi"/>
          <w:b/>
          <w:sz w:val="24"/>
          <w:szCs w:val="24"/>
        </w:rPr>
        <w:t>Demora en la aprobación del Proyecto Anual que imposibilita</w:t>
      </w:r>
      <w:r w:rsidR="00BF68A7" w:rsidRPr="00CC101D">
        <w:rPr>
          <w:rFonts w:asciiTheme="minorHAnsi" w:hAnsiTheme="minorHAnsi"/>
          <w:sz w:val="24"/>
          <w:szCs w:val="24"/>
        </w:rPr>
        <w:t>:</w:t>
      </w:r>
    </w:p>
    <w:p w:rsidR="000E1086" w:rsidRPr="00725866" w:rsidRDefault="00BF68A7" w:rsidP="00725866">
      <w:pPr>
        <w:pStyle w:val="Prrafodelista"/>
        <w:numPr>
          <w:ilvl w:val="0"/>
          <w:numId w:val="14"/>
        </w:numPr>
        <w:spacing w:after="0" w:line="288" w:lineRule="auto"/>
        <w:jc w:val="both"/>
        <w:rPr>
          <w:rFonts w:asciiTheme="minorHAnsi" w:hAnsiTheme="minorHAnsi"/>
          <w:i/>
          <w:sz w:val="24"/>
          <w:szCs w:val="24"/>
        </w:rPr>
      </w:pPr>
      <w:r w:rsidRPr="00725866">
        <w:rPr>
          <w:rFonts w:asciiTheme="minorHAnsi" w:hAnsiTheme="minorHAnsi"/>
          <w:i/>
          <w:sz w:val="24"/>
          <w:szCs w:val="24"/>
        </w:rPr>
        <w:t>La sustanciación temprana de los concursos</w:t>
      </w:r>
    </w:p>
    <w:p w:rsidR="00BF68A7" w:rsidRPr="000E1086" w:rsidRDefault="00BF68A7" w:rsidP="00725866">
      <w:pPr>
        <w:pStyle w:val="Prrafodelista"/>
        <w:numPr>
          <w:ilvl w:val="0"/>
          <w:numId w:val="14"/>
        </w:numPr>
        <w:spacing w:after="0" w:line="288" w:lineRule="auto"/>
        <w:jc w:val="both"/>
        <w:rPr>
          <w:rFonts w:asciiTheme="minorHAnsi" w:hAnsiTheme="minorHAnsi"/>
          <w:sz w:val="24"/>
          <w:szCs w:val="24"/>
        </w:rPr>
      </w:pPr>
      <w:r w:rsidRPr="000E1086">
        <w:rPr>
          <w:rFonts w:asciiTheme="minorHAnsi" w:hAnsiTheme="minorHAnsi"/>
          <w:sz w:val="24"/>
          <w:szCs w:val="24"/>
        </w:rPr>
        <w:t>La Planificación anticipada  de un cronograma de capacitación destinado a docentes, técnicos pedagógicos y tutores alu</w:t>
      </w:r>
      <w:r w:rsidR="00A81AD2" w:rsidRPr="000E1086">
        <w:rPr>
          <w:rFonts w:asciiTheme="minorHAnsi" w:hAnsiTheme="minorHAnsi"/>
          <w:sz w:val="24"/>
          <w:szCs w:val="24"/>
        </w:rPr>
        <w:t>mn</w:t>
      </w:r>
      <w:r w:rsidRPr="000E1086">
        <w:rPr>
          <w:rFonts w:asciiTheme="minorHAnsi" w:hAnsiTheme="minorHAnsi"/>
          <w:sz w:val="24"/>
          <w:szCs w:val="24"/>
        </w:rPr>
        <w:t>os.</w:t>
      </w:r>
    </w:p>
    <w:p w:rsidR="000E1086" w:rsidRDefault="000E1086" w:rsidP="00725866">
      <w:pPr>
        <w:pStyle w:val="Prrafodelista"/>
        <w:spacing w:after="0" w:line="288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</w:p>
    <w:p w:rsidR="000D2D31" w:rsidRPr="00CC101D" w:rsidRDefault="000E1086" w:rsidP="00725866">
      <w:pPr>
        <w:pStyle w:val="Prrafodelista"/>
        <w:spacing w:after="0" w:line="288" w:lineRule="auto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3.- </w:t>
      </w:r>
      <w:r w:rsidR="00A81AD2" w:rsidRPr="00CC101D">
        <w:rPr>
          <w:rFonts w:asciiTheme="minorHAnsi" w:hAnsiTheme="minorHAnsi"/>
          <w:b/>
          <w:sz w:val="24"/>
          <w:szCs w:val="24"/>
        </w:rPr>
        <w:t>Los distintos niveles de avance de las Unidades Académicas respecto de la Modalidad virtual</w:t>
      </w:r>
      <w:r w:rsidR="00A81AD2" w:rsidRPr="00CC101D">
        <w:rPr>
          <w:rFonts w:asciiTheme="minorHAnsi" w:hAnsiTheme="minorHAnsi"/>
          <w:sz w:val="24"/>
          <w:szCs w:val="24"/>
        </w:rPr>
        <w:t xml:space="preserve"> </w:t>
      </w:r>
      <w:r w:rsidR="00890A7E" w:rsidRPr="00CC101D">
        <w:rPr>
          <w:rFonts w:asciiTheme="minorHAnsi" w:hAnsiTheme="minorHAnsi"/>
          <w:sz w:val="24"/>
          <w:szCs w:val="24"/>
        </w:rPr>
        <w:t xml:space="preserve">, </w:t>
      </w:r>
      <w:r w:rsidR="00A81AD2" w:rsidRPr="00CC101D">
        <w:rPr>
          <w:rFonts w:asciiTheme="minorHAnsi" w:hAnsiTheme="minorHAnsi"/>
          <w:sz w:val="24"/>
          <w:szCs w:val="24"/>
        </w:rPr>
        <w:t xml:space="preserve"> </w:t>
      </w:r>
      <w:r w:rsidR="00A81AD2" w:rsidRPr="00DA7EAF">
        <w:rPr>
          <w:rFonts w:asciiTheme="minorHAnsi" w:hAnsiTheme="minorHAnsi"/>
          <w:b/>
          <w:sz w:val="24"/>
          <w:szCs w:val="24"/>
        </w:rPr>
        <w:t>que dificulta su consolidación en la Ins</w:t>
      </w:r>
      <w:r w:rsidR="000D2D31" w:rsidRPr="00DA7EAF">
        <w:rPr>
          <w:rFonts w:asciiTheme="minorHAnsi" w:hAnsiTheme="minorHAnsi"/>
          <w:b/>
          <w:sz w:val="24"/>
          <w:szCs w:val="24"/>
        </w:rPr>
        <w:t>t</w:t>
      </w:r>
      <w:r w:rsidR="00A81AD2" w:rsidRPr="00DA7EAF">
        <w:rPr>
          <w:rFonts w:asciiTheme="minorHAnsi" w:hAnsiTheme="minorHAnsi"/>
          <w:b/>
          <w:sz w:val="24"/>
          <w:szCs w:val="24"/>
        </w:rPr>
        <w:t>itución.</w:t>
      </w:r>
      <w:r w:rsidR="000D2D31" w:rsidRPr="00DA7EAF">
        <w:rPr>
          <w:rFonts w:asciiTheme="minorHAnsi" w:hAnsiTheme="minorHAnsi"/>
          <w:b/>
          <w:sz w:val="24"/>
          <w:szCs w:val="24"/>
        </w:rPr>
        <w:t xml:space="preserve"> Motiva esta situación:</w:t>
      </w:r>
    </w:p>
    <w:p w:rsidR="000E1086" w:rsidRDefault="000D2D31" w:rsidP="00725866">
      <w:pPr>
        <w:pStyle w:val="Prrafodelista"/>
        <w:numPr>
          <w:ilvl w:val="0"/>
          <w:numId w:val="15"/>
        </w:numPr>
        <w:spacing w:after="0" w:line="288" w:lineRule="auto"/>
        <w:jc w:val="both"/>
        <w:rPr>
          <w:rFonts w:asciiTheme="minorHAnsi" w:hAnsiTheme="minorHAnsi"/>
          <w:sz w:val="24"/>
          <w:szCs w:val="24"/>
        </w:rPr>
      </w:pPr>
      <w:r w:rsidRPr="00CC101D">
        <w:rPr>
          <w:rFonts w:asciiTheme="minorHAnsi" w:hAnsiTheme="minorHAnsi"/>
          <w:sz w:val="24"/>
          <w:szCs w:val="24"/>
        </w:rPr>
        <w:t>La capacitación insuficiente de los equipos docentes.</w:t>
      </w:r>
    </w:p>
    <w:p w:rsidR="00A81AD2" w:rsidRPr="000E1086" w:rsidRDefault="000D2D31" w:rsidP="00725866">
      <w:pPr>
        <w:pStyle w:val="Prrafodelista"/>
        <w:numPr>
          <w:ilvl w:val="0"/>
          <w:numId w:val="15"/>
        </w:numPr>
        <w:spacing w:after="0" w:line="288" w:lineRule="auto"/>
        <w:jc w:val="both"/>
        <w:rPr>
          <w:rFonts w:asciiTheme="minorHAnsi" w:hAnsiTheme="minorHAnsi"/>
          <w:sz w:val="24"/>
          <w:szCs w:val="24"/>
        </w:rPr>
      </w:pPr>
      <w:r w:rsidRPr="000E1086">
        <w:rPr>
          <w:rFonts w:asciiTheme="minorHAnsi" w:hAnsiTheme="minorHAnsi"/>
          <w:sz w:val="24"/>
          <w:szCs w:val="24"/>
        </w:rPr>
        <w:t xml:space="preserve">Resistencia al cambio </w:t>
      </w:r>
      <w:r w:rsidR="00AD79A8" w:rsidRPr="000E1086">
        <w:rPr>
          <w:rFonts w:asciiTheme="minorHAnsi" w:hAnsiTheme="minorHAnsi"/>
          <w:sz w:val="24"/>
          <w:szCs w:val="24"/>
        </w:rPr>
        <w:t>en algunas unidades académicas.</w:t>
      </w:r>
    </w:p>
    <w:p w:rsidR="00621AE7" w:rsidRPr="00CC101D" w:rsidRDefault="00621AE7" w:rsidP="00725866">
      <w:pPr>
        <w:spacing w:after="0" w:line="288" w:lineRule="auto"/>
        <w:jc w:val="both"/>
        <w:rPr>
          <w:rFonts w:asciiTheme="minorHAnsi" w:hAnsiTheme="minorHAnsi"/>
          <w:sz w:val="24"/>
          <w:szCs w:val="24"/>
        </w:rPr>
      </w:pPr>
    </w:p>
    <w:p w:rsidR="00A81AD2" w:rsidRPr="000E1086" w:rsidRDefault="003431B8" w:rsidP="00725866">
      <w:pPr>
        <w:pStyle w:val="Prrafodelista"/>
        <w:spacing w:after="0" w:line="288" w:lineRule="auto"/>
        <w:ind w:left="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0E1086">
        <w:rPr>
          <w:rFonts w:asciiTheme="minorHAnsi" w:hAnsiTheme="minorHAnsi"/>
          <w:b/>
          <w:sz w:val="24"/>
          <w:szCs w:val="24"/>
          <w:u w:val="single"/>
        </w:rPr>
        <w:t>Fortalezas</w:t>
      </w:r>
      <w:r w:rsidR="000E1086">
        <w:rPr>
          <w:rFonts w:asciiTheme="minorHAnsi" w:hAnsiTheme="minorHAnsi"/>
          <w:b/>
          <w:sz w:val="24"/>
          <w:szCs w:val="24"/>
          <w:u w:val="single"/>
        </w:rPr>
        <w:t>:</w:t>
      </w:r>
    </w:p>
    <w:p w:rsidR="00621AE7" w:rsidRPr="00CC101D" w:rsidRDefault="00621AE7" w:rsidP="00725866">
      <w:pPr>
        <w:pStyle w:val="Prrafodelista"/>
        <w:spacing w:after="0" w:line="288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</w:p>
    <w:p w:rsidR="00A81AD2" w:rsidRPr="00CC101D" w:rsidRDefault="003431B8" w:rsidP="00725866">
      <w:pPr>
        <w:pStyle w:val="Prrafodelista"/>
        <w:numPr>
          <w:ilvl w:val="0"/>
          <w:numId w:val="16"/>
        </w:numPr>
        <w:spacing w:after="0" w:line="288" w:lineRule="auto"/>
        <w:jc w:val="both"/>
        <w:rPr>
          <w:rFonts w:asciiTheme="minorHAnsi" w:hAnsiTheme="minorHAnsi"/>
          <w:sz w:val="24"/>
          <w:szCs w:val="24"/>
        </w:rPr>
      </w:pPr>
      <w:r w:rsidRPr="00CC101D">
        <w:rPr>
          <w:rFonts w:asciiTheme="minorHAnsi" w:hAnsiTheme="minorHAnsi"/>
          <w:sz w:val="24"/>
          <w:szCs w:val="24"/>
        </w:rPr>
        <w:t xml:space="preserve">Creación </w:t>
      </w:r>
      <w:r w:rsidR="00890A7E" w:rsidRPr="00CC101D">
        <w:rPr>
          <w:rFonts w:asciiTheme="minorHAnsi" w:hAnsiTheme="minorHAnsi"/>
          <w:sz w:val="24"/>
          <w:szCs w:val="24"/>
        </w:rPr>
        <w:t xml:space="preserve">y funcionamiento </w:t>
      </w:r>
      <w:r w:rsidRPr="00CC101D">
        <w:rPr>
          <w:rFonts w:asciiTheme="minorHAnsi" w:hAnsiTheme="minorHAnsi"/>
          <w:sz w:val="24"/>
          <w:szCs w:val="24"/>
        </w:rPr>
        <w:t>de Comisiones de Ingreso en todas las Unidades Académicas.</w:t>
      </w:r>
    </w:p>
    <w:p w:rsidR="00E10EDB" w:rsidRPr="00CC101D" w:rsidRDefault="003431B8" w:rsidP="00725866">
      <w:pPr>
        <w:pStyle w:val="Prrafodelista"/>
        <w:numPr>
          <w:ilvl w:val="0"/>
          <w:numId w:val="16"/>
        </w:numPr>
        <w:spacing w:after="0" w:line="288" w:lineRule="auto"/>
        <w:jc w:val="both"/>
        <w:rPr>
          <w:rFonts w:asciiTheme="minorHAnsi" w:hAnsiTheme="minorHAnsi"/>
          <w:sz w:val="24"/>
          <w:szCs w:val="24"/>
        </w:rPr>
      </w:pPr>
      <w:r w:rsidRPr="00CC101D">
        <w:rPr>
          <w:rFonts w:asciiTheme="minorHAnsi" w:hAnsiTheme="minorHAnsi"/>
          <w:sz w:val="24"/>
          <w:szCs w:val="24"/>
        </w:rPr>
        <w:t xml:space="preserve">Creciente proceso de consolidación de </w:t>
      </w:r>
      <w:r w:rsidR="0000116F" w:rsidRPr="00CC101D">
        <w:rPr>
          <w:rFonts w:asciiTheme="minorHAnsi" w:hAnsiTheme="minorHAnsi"/>
          <w:sz w:val="24"/>
          <w:szCs w:val="24"/>
        </w:rPr>
        <w:t xml:space="preserve">la Política de Articulación a través de la firma de Protocolos Específicos y  </w:t>
      </w:r>
      <w:r w:rsidR="001B2977" w:rsidRPr="00CC101D">
        <w:rPr>
          <w:rFonts w:asciiTheme="minorHAnsi" w:hAnsiTheme="minorHAnsi"/>
          <w:sz w:val="24"/>
          <w:szCs w:val="24"/>
        </w:rPr>
        <w:t>Adicionales, conformación de Comisiones Mixtas, Planeamiento conjunto de acciones y  formulación de</w:t>
      </w:r>
      <w:r w:rsidR="00E10EDB" w:rsidRPr="00CC101D">
        <w:rPr>
          <w:rFonts w:asciiTheme="minorHAnsi" w:hAnsiTheme="minorHAnsi"/>
          <w:sz w:val="24"/>
          <w:szCs w:val="24"/>
        </w:rPr>
        <w:t xml:space="preserve"> Calendario Común con el Ministerio de Educación, Cultura y Tecnología Provincial.</w:t>
      </w:r>
    </w:p>
    <w:p w:rsidR="00BC295E" w:rsidRPr="00CC101D" w:rsidRDefault="00E10EDB" w:rsidP="00725866">
      <w:pPr>
        <w:pStyle w:val="Prrafodelista"/>
        <w:numPr>
          <w:ilvl w:val="0"/>
          <w:numId w:val="16"/>
        </w:numPr>
        <w:spacing w:after="0" w:line="288" w:lineRule="auto"/>
        <w:jc w:val="both"/>
        <w:rPr>
          <w:rFonts w:asciiTheme="minorHAnsi" w:hAnsiTheme="minorHAnsi"/>
          <w:sz w:val="24"/>
          <w:szCs w:val="24"/>
        </w:rPr>
      </w:pPr>
      <w:r w:rsidRPr="00CC101D">
        <w:rPr>
          <w:rFonts w:asciiTheme="minorHAnsi" w:hAnsiTheme="minorHAnsi"/>
          <w:sz w:val="24"/>
          <w:szCs w:val="24"/>
        </w:rPr>
        <w:t xml:space="preserve">Trabajo en equipo, con </w:t>
      </w:r>
      <w:r w:rsidR="00BC295E" w:rsidRPr="00CC101D">
        <w:rPr>
          <w:rFonts w:asciiTheme="minorHAnsi" w:hAnsiTheme="minorHAnsi"/>
          <w:sz w:val="24"/>
          <w:szCs w:val="24"/>
        </w:rPr>
        <w:t xml:space="preserve">espacios </w:t>
      </w:r>
      <w:r w:rsidRPr="00CC101D">
        <w:rPr>
          <w:rFonts w:asciiTheme="minorHAnsi" w:hAnsiTheme="minorHAnsi"/>
          <w:sz w:val="24"/>
          <w:szCs w:val="24"/>
        </w:rPr>
        <w:t xml:space="preserve">de participación y consenso </w:t>
      </w:r>
      <w:r w:rsidR="00BC295E" w:rsidRPr="00CC101D">
        <w:rPr>
          <w:rFonts w:asciiTheme="minorHAnsi" w:hAnsiTheme="minorHAnsi"/>
          <w:sz w:val="24"/>
          <w:szCs w:val="24"/>
        </w:rPr>
        <w:t xml:space="preserve">a través del </w:t>
      </w:r>
      <w:r w:rsidRPr="00CC101D">
        <w:rPr>
          <w:rFonts w:asciiTheme="minorHAnsi" w:hAnsiTheme="minorHAnsi"/>
          <w:sz w:val="24"/>
          <w:szCs w:val="24"/>
        </w:rPr>
        <w:t xml:space="preserve"> Consejo Asesor de la Secretaría Académica de la Universidad constituido por los Secretarios Académicos de Facultades y Secretarios de Sedes.   </w:t>
      </w:r>
      <w:r w:rsidR="001B2977" w:rsidRPr="00CC101D">
        <w:rPr>
          <w:rFonts w:asciiTheme="minorHAnsi" w:hAnsiTheme="minorHAnsi"/>
          <w:sz w:val="24"/>
          <w:szCs w:val="24"/>
        </w:rPr>
        <w:t xml:space="preserve"> </w:t>
      </w:r>
    </w:p>
    <w:p w:rsidR="003431B8" w:rsidRPr="00CC101D" w:rsidRDefault="00BC295E" w:rsidP="00725866">
      <w:pPr>
        <w:pStyle w:val="Prrafodelista"/>
        <w:numPr>
          <w:ilvl w:val="0"/>
          <w:numId w:val="16"/>
        </w:numPr>
        <w:spacing w:after="0" w:line="288" w:lineRule="auto"/>
        <w:jc w:val="both"/>
        <w:rPr>
          <w:rFonts w:asciiTheme="minorHAnsi" w:hAnsiTheme="minorHAnsi"/>
          <w:sz w:val="24"/>
          <w:szCs w:val="24"/>
        </w:rPr>
      </w:pPr>
      <w:r w:rsidRPr="00CC101D">
        <w:rPr>
          <w:rFonts w:asciiTheme="minorHAnsi" w:hAnsiTheme="minorHAnsi"/>
          <w:sz w:val="24"/>
          <w:szCs w:val="24"/>
        </w:rPr>
        <w:t>Avance considerable de la Modalidad Virtual que se  fortale</w:t>
      </w:r>
      <w:r w:rsidR="00850A1D" w:rsidRPr="00CC101D">
        <w:rPr>
          <w:rFonts w:asciiTheme="minorHAnsi" w:hAnsiTheme="minorHAnsi"/>
          <w:sz w:val="24"/>
          <w:szCs w:val="24"/>
        </w:rPr>
        <w:t xml:space="preserve">ce  </w:t>
      </w:r>
      <w:r w:rsidR="00E12FFD" w:rsidRPr="00CC101D">
        <w:rPr>
          <w:rFonts w:asciiTheme="minorHAnsi" w:hAnsiTheme="minorHAnsi"/>
          <w:sz w:val="24"/>
          <w:szCs w:val="24"/>
        </w:rPr>
        <w:t xml:space="preserve">progresivamente </w:t>
      </w:r>
      <w:r w:rsidR="00850A1D" w:rsidRPr="00CC101D">
        <w:rPr>
          <w:rFonts w:asciiTheme="minorHAnsi" w:hAnsiTheme="minorHAnsi"/>
          <w:sz w:val="24"/>
          <w:szCs w:val="24"/>
        </w:rPr>
        <w:t xml:space="preserve">con </w:t>
      </w:r>
      <w:r w:rsidR="002616CB" w:rsidRPr="00CC101D">
        <w:rPr>
          <w:rFonts w:asciiTheme="minorHAnsi" w:hAnsiTheme="minorHAnsi"/>
          <w:sz w:val="24"/>
          <w:szCs w:val="24"/>
        </w:rPr>
        <w:t xml:space="preserve"> </w:t>
      </w:r>
      <w:r w:rsidRPr="00CC101D">
        <w:rPr>
          <w:rFonts w:asciiTheme="minorHAnsi" w:hAnsiTheme="minorHAnsi"/>
          <w:sz w:val="24"/>
          <w:szCs w:val="24"/>
        </w:rPr>
        <w:t xml:space="preserve"> </w:t>
      </w:r>
      <w:r w:rsidR="002616CB" w:rsidRPr="00CC101D">
        <w:rPr>
          <w:rFonts w:asciiTheme="minorHAnsi" w:hAnsiTheme="minorHAnsi"/>
          <w:sz w:val="24"/>
          <w:szCs w:val="24"/>
        </w:rPr>
        <w:t xml:space="preserve">instancias </w:t>
      </w:r>
      <w:r w:rsidRPr="00CC101D">
        <w:rPr>
          <w:rFonts w:asciiTheme="minorHAnsi" w:hAnsiTheme="minorHAnsi"/>
          <w:sz w:val="24"/>
          <w:szCs w:val="24"/>
        </w:rPr>
        <w:t xml:space="preserve"> de </w:t>
      </w:r>
      <w:r w:rsidR="00850A1D" w:rsidRPr="00CC101D">
        <w:rPr>
          <w:rFonts w:asciiTheme="minorHAnsi" w:hAnsiTheme="minorHAnsi"/>
          <w:sz w:val="24"/>
          <w:szCs w:val="24"/>
        </w:rPr>
        <w:t xml:space="preserve">capacitación y </w:t>
      </w:r>
      <w:r w:rsidRPr="00CC101D">
        <w:rPr>
          <w:rFonts w:asciiTheme="minorHAnsi" w:hAnsiTheme="minorHAnsi"/>
          <w:sz w:val="24"/>
          <w:szCs w:val="24"/>
        </w:rPr>
        <w:t>puesta</w:t>
      </w:r>
      <w:r w:rsidR="00850A1D" w:rsidRPr="00CC101D">
        <w:rPr>
          <w:rFonts w:asciiTheme="minorHAnsi" w:hAnsiTheme="minorHAnsi"/>
          <w:sz w:val="24"/>
          <w:szCs w:val="24"/>
        </w:rPr>
        <w:t>s</w:t>
      </w:r>
      <w:r w:rsidRPr="00CC101D">
        <w:rPr>
          <w:rFonts w:asciiTheme="minorHAnsi" w:hAnsiTheme="minorHAnsi"/>
          <w:sz w:val="24"/>
          <w:szCs w:val="24"/>
        </w:rPr>
        <w:t xml:space="preserve"> en común de las propuestas de cada Unidad Académica</w:t>
      </w:r>
      <w:r w:rsidR="00850A1D" w:rsidRPr="00CC101D">
        <w:rPr>
          <w:rFonts w:asciiTheme="minorHAnsi" w:hAnsiTheme="minorHAnsi"/>
          <w:sz w:val="24"/>
          <w:szCs w:val="24"/>
        </w:rPr>
        <w:t>.</w:t>
      </w:r>
      <w:r w:rsidRPr="00CC101D">
        <w:rPr>
          <w:rFonts w:asciiTheme="minorHAnsi" w:hAnsiTheme="minorHAnsi"/>
          <w:sz w:val="24"/>
          <w:szCs w:val="24"/>
        </w:rPr>
        <w:t xml:space="preserve"> </w:t>
      </w:r>
    </w:p>
    <w:p w:rsidR="00725866" w:rsidRDefault="00725866" w:rsidP="00725866">
      <w:pPr>
        <w:spacing w:after="0" w:line="288" w:lineRule="auto"/>
        <w:jc w:val="both"/>
        <w:rPr>
          <w:rFonts w:asciiTheme="minorHAnsi" w:hAnsiTheme="minorHAnsi"/>
          <w:b/>
          <w:i/>
          <w:color w:val="000000"/>
          <w:sz w:val="24"/>
          <w:szCs w:val="24"/>
        </w:rPr>
      </w:pPr>
    </w:p>
    <w:p w:rsidR="00A929FC" w:rsidRPr="00725866" w:rsidRDefault="00A929FC" w:rsidP="00725866">
      <w:pPr>
        <w:pStyle w:val="Prrafodelista"/>
        <w:numPr>
          <w:ilvl w:val="0"/>
          <w:numId w:val="1"/>
        </w:numPr>
        <w:spacing w:after="0" w:line="288" w:lineRule="auto"/>
        <w:jc w:val="both"/>
        <w:rPr>
          <w:rFonts w:asciiTheme="minorHAnsi" w:hAnsiTheme="minorHAnsi"/>
          <w:b/>
          <w:i/>
          <w:color w:val="000000"/>
          <w:sz w:val="24"/>
          <w:szCs w:val="24"/>
        </w:rPr>
      </w:pPr>
      <w:r w:rsidRPr="00725866">
        <w:rPr>
          <w:rFonts w:asciiTheme="minorHAnsi" w:hAnsiTheme="minorHAnsi"/>
          <w:b/>
          <w:i/>
          <w:color w:val="000000"/>
          <w:sz w:val="24"/>
          <w:szCs w:val="24"/>
        </w:rPr>
        <w:t>Repositorio. Reseñe actividades de investigación referidas al tema.</w:t>
      </w:r>
    </w:p>
    <w:p w:rsidR="000E1086" w:rsidRDefault="000E1086" w:rsidP="00725866">
      <w:pPr>
        <w:spacing w:after="0" w:line="288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22AB7" w:rsidRPr="00DA7EAF" w:rsidRDefault="000E1086" w:rsidP="00725866">
      <w:pPr>
        <w:spacing w:after="0" w:line="288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ab/>
      </w:r>
      <w:r w:rsidR="00FC6A17" w:rsidRPr="00CC101D">
        <w:rPr>
          <w:rFonts w:asciiTheme="minorHAnsi" w:hAnsiTheme="minorHAnsi"/>
          <w:color w:val="000000"/>
          <w:sz w:val="24"/>
          <w:szCs w:val="24"/>
        </w:rPr>
        <w:t>La Dirección de Planeamiento y Evaluación Universitaria conjuntamente con la Dirección de Estadística de la Universidad, ha iniciado una acción de seguimiento académico de los ingresantes CIU-2012 y 2013 para contrastar resultados con aquellos ingresantes que no  hicieron CIU</w:t>
      </w:r>
      <w:r w:rsidR="00224C74" w:rsidRPr="00CC101D">
        <w:rPr>
          <w:rFonts w:asciiTheme="minorHAnsi" w:hAnsiTheme="minorHAnsi"/>
          <w:color w:val="000000"/>
          <w:sz w:val="24"/>
          <w:szCs w:val="24"/>
        </w:rPr>
        <w:t xml:space="preserve">   tomando como variables: colegio de procedencia, condición socio-económica de la familia, situación laboral y edad, entre otras.</w:t>
      </w:r>
      <w:r w:rsidR="00FC6A17" w:rsidRPr="00CC101D">
        <w:rPr>
          <w:rFonts w:asciiTheme="minorHAnsi" w:hAnsiTheme="minorHAnsi"/>
          <w:color w:val="000000"/>
          <w:sz w:val="24"/>
          <w:szCs w:val="24"/>
        </w:rPr>
        <w:t xml:space="preserve"> Dicho seguimiento se realiza</w:t>
      </w:r>
      <w:r w:rsidR="00224C74" w:rsidRPr="00CC101D">
        <w:rPr>
          <w:rFonts w:asciiTheme="minorHAnsi" w:hAnsiTheme="minorHAnsi"/>
          <w:color w:val="000000"/>
          <w:sz w:val="24"/>
          <w:szCs w:val="24"/>
        </w:rPr>
        <w:t xml:space="preserve"> en el marco del SIU Guaraní y se espera contar con los primeros resultados en el mes de noviembre.</w:t>
      </w:r>
    </w:p>
    <w:sectPr w:rsidR="00B22AB7" w:rsidRPr="00DA7EAF" w:rsidSect="000E1086">
      <w:headerReference w:type="default" r:id="rId8"/>
      <w:pgSz w:w="12240" w:h="15840" w:code="1"/>
      <w:pgMar w:top="1701" w:right="56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D1C" w:rsidRDefault="004F1D1C" w:rsidP="00AB51FC">
      <w:pPr>
        <w:spacing w:after="0" w:line="240" w:lineRule="auto"/>
      </w:pPr>
      <w:r>
        <w:separator/>
      </w:r>
    </w:p>
  </w:endnote>
  <w:endnote w:type="continuationSeparator" w:id="0">
    <w:p w:rsidR="004F1D1C" w:rsidRDefault="004F1D1C" w:rsidP="00AB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D1C" w:rsidRDefault="004F1D1C" w:rsidP="00AB51FC">
      <w:pPr>
        <w:spacing w:after="0" w:line="240" w:lineRule="auto"/>
      </w:pPr>
      <w:r>
        <w:separator/>
      </w:r>
    </w:p>
  </w:footnote>
  <w:footnote w:type="continuationSeparator" w:id="0">
    <w:p w:rsidR="004F1D1C" w:rsidRDefault="004F1D1C" w:rsidP="00AB51FC">
      <w:pPr>
        <w:spacing w:after="0" w:line="240" w:lineRule="auto"/>
      </w:pPr>
      <w:r>
        <w:continuationSeparator/>
      </w:r>
    </w:p>
  </w:footnote>
  <w:footnote w:id="1">
    <w:p w:rsidR="00AB51FC" w:rsidRDefault="00AB51FC" w:rsidP="00A0303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D469CF">
        <w:t xml:space="preserve">La </w:t>
      </w:r>
      <w:r w:rsidR="006E044F">
        <w:t xml:space="preserve">Secretaría Académica de la </w:t>
      </w:r>
      <w:r w:rsidR="00D469CF">
        <w:t>Universidad Nacional</w:t>
      </w:r>
      <w:r w:rsidR="00175BF5">
        <w:t xml:space="preserve"> </w:t>
      </w:r>
      <w:r w:rsidR="00A9191E">
        <w:t xml:space="preserve">de Salta </w:t>
      </w:r>
      <w:r w:rsidR="00824202">
        <w:t>elabora anualmente un Proyecto General de Ingreso</w:t>
      </w:r>
      <w:r w:rsidR="009555E2">
        <w:t xml:space="preserve"> </w:t>
      </w:r>
      <w:r w:rsidR="006E044F">
        <w:t>que surge del consenso con las distintas unidades académicas</w:t>
      </w:r>
      <w:r w:rsidR="008B488B">
        <w:t xml:space="preserve">. Allí se </w:t>
      </w:r>
      <w:r w:rsidR="00A03036">
        <w:t xml:space="preserve"> </w:t>
      </w:r>
      <w:r w:rsidR="00824202">
        <w:t>establece</w:t>
      </w:r>
      <w:r w:rsidR="008B488B">
        <w:t>n</w:t>
      </w:r>
      <w:r w:rsidR="009555E2">
        <w:t xml:space="preserve"> los </w:t>
      </w:r>
      <w:r w:rsidR="00321747">
        <w:t>l</w:t>
      </w:r>
      <w:r w:rsidR="009555E2">
        <w:t>ineamiento</w:t>
      </w:r>
      <w:r w:rsidR="006E044F">
        <w:t xml:space="preserve">s </w:t>
      </w:r>
      <w:r w:rsidR="009555E2">
        <w:t xml:space="preserve"> generales</w:t>
      </w:r>
      <w:r w:rsidR="00824202">
        <w:t xml:space="preserve"> </w:t>
      </w:r>
      <w:r w:rsidR="006E044F">
        <w:t xml:space="preserve">y </w:t>
      </w:r>
      <w:r w:rsidR="00321747">
        <w:t xml:space="preserve"> </w:t>
      </w:r>
      <w:r w:rsidR="008B488B">
        <w:t xml:space="preserve">se </w:t>
      </w:r>
      <w:r w:rsidR="006E044F">
        <w:t xml:space="preserve"> determina el marco organizativo.   </w:t>
      </w:r>
      <w:r w:rsidR="00321747">
        <w:t>Se trata de una propuesta flexible que permite a cada Facultad y Sede realizar las adecuaciones respecto de cargos</w:t>
      </w:r>
      <w:r w:rsidR="00A03036">
        <w:t>, contenidos y  apoyatura a la modalidad virtual.  No obstante</w:t>
      </w:r>
      <w:r w:rsidR="001816BD">
        <w:t xml:space="preserve">, </w:t>
      </w:r>
      <w:r w:rsidR="00A03036">
        <w:t xml:space="preserve">  </w:t>
      </w:r>
      <w:r w:rsidR="00514550">
        <w:t xml:space="preserve">propone </w:t>
      </w:r>
      <w:r w:rsidR="00A03036">
        <w:t xml:space="preserve"> Comprensión y Producción de Texto como  eje común y transversal. </w:t>
      </w:r>
    </w:p>
    <w:p w:rsidR="00DA7EAF" w:rsidRPr="00AB51FC" w:rsidRDefault="00DA7EAF" w:rsidP="00A03036">
      <w:pPr>
        <w:pStyle w:val="Textonotapie"/>
        <w:jc w:val="both"/>
        <w:rPr>
          <w:lang w:val="es-ES"/>
        </w:rPr>
      </w:pPr>
    </w:p>
  </w:footnote>
  <w:footnote w:id="2">
    <w:p w:rsidR="00D85A28" w:rsidRPr="00D85A28" w:rsidRDefault="00D85A28" w:rsidP="006E05A3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F171A5" w:rsidRPr="006E05A3">
        <w:rPr>
          <w:lang w:val="es-ES"/>
        </w:rPr>
        <w:t xml:space="preserve">La implementación de aulas virtuales </w:t>
      </w:r>
      <w:r w:rsidR="00BF34C7" w:rsidRPr="006E05A3">
        <w:rPr>
          <w:lang w:val="es-ES"/>
        </w:rPr>
        <w:t xml:space="preserve">como soporte de lo presencial  </w:t>
      </w:r>
      <w:r w:rsidR="00F171A5" w:rsidRPr="006E05A3">
        <w:rPr>
          <w:lang w:val="es-ES"/>
        </w:rPr>
        <w:t>se fue generalizando en las distintas unidades académicas con distintos grados de avance</w:t>
      </w:r>
      <w:r w:rsidR="00BF34C7" w:rsidRPr="006E05A3">
        <w:rPr>
          <w:lang w:val="es-ES"/>
        </w:rPr>
        <w:t xml:space="preserve">. En el caso de  la Facultad de Ciencias de la Salud </w:t>
      </w:r>
      <w:r w:rsidR="00F171A5" w:rsidRPr="006E05A3">
        <w:rPr>
          <w:lang w:val="es-ES"/>
        </w:rPr>
        <w:t>se</w:t>
      </w:r>
      <w:r w:rsidR="00BF34C7" w:rsidRPr="006E05A3">
        <w:rPr>
          <w:lang w:val="es-ES"/>
        </w:rPr>
        <w:t xml:space="preserve"> </w:t>
      </w:r>
      <w:r w:rsidR="00F171A5" w:rsidRPr="006E05A3">
        <w:rPr>
          <w:lang w:val="es-ES"/>
        </w:rPr>
        <w:t>llev</w:t>
      </w:r>
      <w:r w:rsidR="00BF34C7" w:rsidRPr="006E05A3">
        <w:rPr>
          <w:lang w:val="es-ES"/>
        </w:rPr>
        <w:t xml:space="preserve">ó </w:t>
      </w:r>
      <w:r w:rsidR="00F171A5" w:rsidRPr="006E05A3">
        <w:rPr>
          <w:lang w:val="es-ES"/>
        </w:rPr>
        <w:t xml:space="preserve"> a cabo </w:t>
      </w:r>
      <w:r w:rsidR="006E05A3" w:rsidRPr="006E05A3">
        <w:rPr>
          <w:lang w:val="es-ES"/>
        </w:rPr>
        <w:t xml:space="preserve">una </w:t>
      </w:r>
      <w:r w:rsidR="00F171A5" w:rsidRPr="006E05A3">
        <w:rPr>
          <w:lang w:val="es-ES"/>
        </w:rPr>
        <w:t>experiencia piloto</w:t>
      </w:r>
      <w:r w:rsidR="006E05A3" w:rsidRPr="006E05A3">
        <w:rPr>
          <w:lang w:val="es-ES"/>
        </w:rPr>
        <w:t xml:space="preserve"> con una comisión</w:t>
      </w:r>
      <w:r w:rsidR="00F171A5" w:rsidRPr="006E05A3">
        <w:rPr>
          <w:lang w:val="es-ES"/>
        </w:rPr>
        <w:t xml:space="preserve"> </w:t>
      </w:r>
      <w:r w:rsidR="00BF34C7" w:rsidRPr="006E05A3">
        <w:rPr>
          <w:lang w:val="es-ES"/>
        </w:rPr>
        <w:t xml:space="preserve">en la que el porcentaje de lo virtual </w:t>
      </w:r>
      <w:r w:rsidR="006E05A3" w:rsidRPr="006E05A3">
        <w:rPr>
          <w:lang w:val="es-ES"/>
        </w:rPr>
        <w:t xml:space="preserve">fue </w:t>
      </w:r>
      <w:r w:rsidR="00BF34C7" w:rsidRPr="006E05A3">
        <w:rPr>
          <w:lang w:val="es-ES"/>
        </w:rPr>
        <w:t xml:space="preserve"> </w:t>
      </w:r>
      <w:r w:rsidR="008B488B">
        <w:rPr>
          <w:lang w:val="es-ES"/>
        </w:rPr>
        <w:t xml:space="preserve">el </w:t>
      </w:r>
      <w:r w:rsidR="00BF34C7" w:rsidRPr="006E05A3">
        <w:rPr>
          <w:lang w:val="es-ES"/>
        </w:rPr>
        <w:t>predominante</w:t>
      </w:r>
      <w:r w:rsidR="00DD6CD8">
        <w:rPr>
          <w:lang w:val="es-ES"/>
        </w:rPr>
        <w:t xml:space="preserve"> o el caso de las Facultades de Humanidades y  Ciencias Económicas Jurídicas y Sociales donde se registró mayor permanencia de los alumnos que operaron en las aulas virtuales. </w:t>
      </w:r>
      <w:r w:rsidR="00BF34C7">
        <w:rPr>
          <w:lang w:val="es-ES"/>
        </w:rPr>
        <w:t xml:space="preserve">  </w:t>
      </w:r>
    </w:p>
  </w:footnote>
  <w:footnote w:id="3">
    <w:p w:rsidR="00DA7EAF" w:rsidRDefault="00DA7EAF">
      <w:pPr>
        <w:pStyle w:val="Textonotapie"/>
        <w:rPr>
          <w:lang w:val="es-ES"/>
        </w:rPr>
      </w:pPr>
    </w:p>
    <w:p w:rsidR="00CC7371" w:rsidRDefault="00CC7371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rPr>
          <w:lang w:val="es-ES"/>
        </w:rPr>
        <w:t>Se citan los propósitos del Proyecto:</w:t>
      </w:r>
    </w:p>
    <w:p w:rsidR="001F248D" w:rsidRPr="00687B5E" w:rsidRDefault="001F248D" w:rsidP="001F248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687B5E">
        <w:rPr>
          <w:sz w:val="20"/>
          <w:szCs w:val="20"/>
        </w:rPr>
        <w:t>Instrumentar el Curso de Ingreso como etapa inicial para contribuir a la retención de los ingresantes en el sistema universitario.</w:t>
      </w:r>
    </w:p>
    <w:p w:rsidR="001F248D" w:rsidRPr="00687B5E" w:rsidRDefault="001F248D" w:rsidP="001F248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687B5E">
        <w:rPr>
          <w:sz w:val="20"/>
          <w:szCs w:val="20"/>
          <w:lang w:val="es-ES"/>
        </w:rPr>
        <w:t>Introducir</w:t>
      </w:r>
      <w:r w:rsidRPr="00687B5E">
        <w:rPr>
          <w:sz w:val="20"/>
          <w:szCs w:val="20"/>
        </w:rPr>
        <w:t xml:space="preserve"> al ingresante </w:t>
      </w:r>
      <w:r w:rsidR="00316FB2">
        <w:rPr>
          <w:sz w:val="20"/>
          <w:szCs w:val="20"/>
        </w:rPr>
        <w:t xml:space="preserve">en el </w:t>
      </w:r>
      <w:r w:rsidRPr="00687B5E">
        <w:rPr>
          <w:sz w:val="20"/>
          <w:szCs w:val="20"/>
        </w:rPr>
        <w:t xml:space="preserve"> conocimiento de la vida universitaria y del futuro ámbito de desarrollo profesional de la carrera elegida.</w:t>
      </w:r>
    </w:p>
    <w:p w:rsidR="001F248D" w:rsidRPr="00687B5E" w:rsidRDefault="001F248D" w:rsidP="001F248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687B5E">
        <w:rPr>
          <w:sz w:val="20"/>
          <w:szCs w:val="20"/>
        </w:rPr>
        <w:t>Propiciar el desarrollo de competencias en lectura/escritura de textos científico-académicos, necesarias para desenvolverse en la Universidad.</w:t>
      </w:r>
    </w:p>
    <w:p w:rsidR="001F248D" w:rsidRPr="00687B5E" w:rsidRDefault="001F248D" w:rsidP="001F248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687B5E">
        <w:rPr>
          <w:sz w:val="20"/>
          <w:szCs w:val="20"/>
        </w:rPr>
        <w:t>Relevar dificultades que surjan en esta etapa para planificar acciones de retención para los primeros años de estudio.</w:t>
      </w:r>
    </w:p>
    <w:p w:rsidR="001F248D" w:rsidRPr="001F248D" w:rsidRDefault="001F248D">
      <w:pPr>
        <w:pStyle w:val="Textonotapie"/>
      </w:pPr>
    </w:p>
  </w:footnote>
  <w:footnote w:id="4">
    <w:p w:rsidR="00BC399A" w:rsidRPr="00BC399A" w:rsidRDefault="00BC399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 En las Facultades </w:t>
      </w:r>
      <w:r w:rsidR="00747D9F">
        <w:t xml:space="preserve"> de Ingeni</w:t>
      </w:r>
      <w:r>
        <w:t xml:space="preserve">ería y de Ciencias de la salud  el ingreso es irrestricto </w:t>
      </w:r>
      <w:r w:rsidR="009C4EFC">
        <w:t>conforme</w:t>
      </w:r>
      <w:r>
        <w:t xml:space="preserve"> lo  estable el Estatuto de la Universidad</w:t>
      </w:r>
      <w:r w:rsidR="009C4EFC">
        <w:t xml:space="preserve"> Nacional de Salta</w:t>
      </w:r>
      <w:r>
        <w:t xml:space="preserve"> </w:t>
      </w:r>
      <w:r w:rsidR="009C4EFC">
        <w:t xml:space="preserve">pero  imprimen al Curso de Ingreso  carácter  </w:t>
      </w:r>
      <w:r w:rsidR="009C4EFC" w:rsidRPr="005406A9">
        <w:rPr>
          <w:b/>
          <w:u w:val="single"/>
        </w:rPr>
        <w:t>obligatorio.</w:t>
      </w:r>
    </w:p>
  </w:footnote>
  <w:footnote w:id="5">
    <w:p w:rsidR="00DA7EAF" w:rsidRDefault="00DA7EAF">
      <w:pPr>
        <w:pStyle w:val="Textonotapie"/>
        <w:rPr>
          <w:lang w:val="es-ES"/>
        </w:rPr>
      </w:pPr>
    </w:p>
    <w:p w:rsidR="00747D9F" w:rsidRDefault="00747D9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rPr>
          <w:lang w:val="es-ES"/>
        </w:rPr>
        <w:t xml:space="preserve"> </w:t>
      </w:r>
      <w:r w:rsidR="00F15686">
        <w:rPr>
          <w:lang w:val="es-ES"/>
        </w:rPr>
        <w:t xml:space="preserve">El Proyecto de Ingreso </w:t>
      </w:r>
      <w:r w:rsidR="007D22F9">
        <w:rPr>
          <w:lang w:val="es-ES"/>
        </w:rPr>
        <w:t xml:space="preserve">completo </w:t>
      </w:r>
      <w:r w:rsidR="00F15686">
        <w:rPr>
          <w:lang w:val="es-ES"/>
        </w:rPr>
        <w:t>se organiza en tres trayectos:</w:t>
      </w:r>
    </w:p>
    <w:p w:rsidR="00F15686" w:rsidRPr="007D22F9" w:rsidRDefault="007D22F9" w:rsidP="00F1568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</w:t>
      </w:r>
      <w:r w:rsidR="00F15686" w:rsidRPr="007D22F9">
        <w:rPr>
          <w:rFonts w:asciiTheme="minorHAnsi" w:hAnsiTheme="minorHAnsi"/>
          <w:b/>
          <w:sz w:val="20"/>
          <w:szCs w:val="20"/>
        </w:rPr>
        <w:t>re-universitario</w:t>
      </w:r>
      <w:r w:rsidR="00F15686" w:rsidRPr="007D22F9">
        <w:rPr>
          <w:rFonts w:asciiTheme="minorHAnsi" w:hAnsiTheme="minorHAnsi"/>
          <w:sz w:val="20"/>
          <w:szCs w:val="20"/>
        </w:rPr>
        <w:t xml:space="preserve">: de articulación con el nivel secundario. De </w:t>
      </w:r>
      <w:r w:rsidR="00C666B3">
        <w:rPr>
          <w:rFonts w:asciiTheme="minorHAnsi" w:hAnsiTheme="minorHAnsi"/>
          <w:sz w:val="20"/>
          <w:szCs w:val="20"/>
        </w:rPr>
        <w:t xml:space="preserve">agosto </w:t>
      </w:r>
      <w:r w:rsidR="00F15686" w:rsidRPr="007D22F9">
        <w:rPr>
          <w:rFonts w:asciiTheme="minorHAnsi" w:hAnsiTheme="minorHAnsi"/>
          <w:sz w:val="20"/>
          <w:szCs w:val="20"/>
        </w:rPr>
        <w:t xml:space="preserve"> a diciembre</w:t>
      </w:r>
      <w:r w:rsidR="00C666B3">
        <w:rPr>
          <w:rFonts w:asciiTheme="minorHAnsi" w:hAnsiTheme="minorHAnsi"/>
          <w:sz w:val="20"/>
          <w:szCs w:val="20"/>
        </w:rPr>
        <w:t>.</w:t>
      </w:r>
      <w:r w:rsidR="00F15686" w:rsidRPr="007D22F9">
        <w:rPr>
          <w:rFonts w:asciiTheme="minorHAnsi" w:hAnsiTheme="minorHAnsi"/>
          <w:sz w:val="20"/>
          <w:szCs w:val="20"/>
        </w:rPr>
        <w:t xml:space="preserve"> </w:t>
      </w:r>
    </w:p>
    <w:p w:rsidR="00F15686" w:rsidRPr="007D22F9" w:rsidRDefault="007D22F9" w:rsidP="00F1568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</w:t>
      </w:r>
      <w:r w:rsidR="00F15686" w:rsidRPr="007D22F9">
        <w:rPr>
          <w:rFonts w:asciiTheme="minorHAnsi" w:hAnsiTheme="minorHAnsi"/>
          <w:b/>
          <w:sz w:val="20"/>
          <w:szCs w:val="20"/>
        </w:rPr>
        <w:t>IU propiamente dicho</w:t>
      </w:r>
      <w:r w:rsidR="00F15686" w:rsidRPr="007D22F9">
        <w:rPr>
          <w:rFonts w:asciiTheme="minorHAnsi" w:hAnsiTheme="minorHAnsi"/>
          <w:sz w:val="20"/>
          <w:szCs w:val="20"/>
        </w:rPr>
        <w:t xml:space="preserve">: de febrero a marzo </w:t>
      </w:r>
    </w:p>
    <w:p w:rsidR="00F15686" w:rsidRPr="007D22F9" w:rsidRDefault="007D22F9" w:rsidP="00F1568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</w:t>
      </w:r>
      <w:r w:rsidR="00F15686" w:rsidRPr="007D22F9">
        <w:rPr>
          <w:rFonts w:asciiTheme="minorHAnsi" w:hAnsiTheme="minorHAnsi"/>
          <w:b/>
          <w:sz w:val="20"/>
          <w:szCs w:val="20"/>
        </w:rPr>
        <w:t>ost-curso</w:t>
      </w:r>
      <w:r w:rsidR="00F15686" w:rsidRPr="007D22F9">
        <w:rPr>
          <w:rFonts w:asciiTheme="minorHAnsi" w:hAnsiTheme="minorHAnsi"/>
          <w:sz w:val="20"/>
          <w:szCs w:val="20"/>
        </w:rPr>
        <w:t>: de seguimiento de los alumnos que cursaron el CIU y vinculación con los que no lo hicieron a partir del establecimiento de índices de rendimiento.</w:t>
      </w:r>
    </w:p>
    <w:p w:rsidR="00F15686" w:rsidRPr="00F15686" w:rsidRDefault="00F15686">
      <w:pPr>
        <w:pStyle w:val="Textonotapie"/>
      </w:pPr>
    </w:p>
  </w:footnote>
  <w:footnote w:id="6">
    <w:p w:rsidR="00A1229D" w:rsidRPr="00A1229D" w:rsidRDefault="00A1229D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Las asignaturas y ejes o módulos </w:t>
      </w:r>
      <w:r w:rsidR="0056074B">
        <w:rPr>
          <w:lang w:val="es-ES"/>
        </w:rPr>
        <w:t xml:space="preserve">enumerados </w:t>
      </w:r>
      <w:r w:rsidR="00EC7595">
        <w:rPr>
          <w:lang w:val="es-ES"/>
        </w:rPr>
        <w:t xml:space="preserve">corresponden en general a los que se abordan en toda la Universidad </w:t>
      </w:r>
      <w:r w:rsidR="00850A1D">
        <w:rPr>
          <w:lang w:val="es-ES"/>
        </w:rPr>
        <w:t xml:space="preserve">y se presentan </w:t>
      </w:r>
      <w:r w:rsidR="00EC7595">
        <w:rPr>
          <w:lang w:val="es-ES"/>
        </w:rPr>
        <w:t xml:space="preserve">sin discriminar </w:t>
      </w:r>
      <w:r>
        <w:rPr>
          <w:lang w:val="es-ES"/>
        </w:rPr>
        <w:t xml:space="preserve"> facultades y/o carreras</w:t>
      </w:r>
      <w:r w:rsidR="0056074B">
        <w:rPr>
          <w:lang w:val="es-ES"/>
        </w:rPr>
        <w:t xml:space="preserve">, excepto el módulo </w:t>
      </w:r>
      <w:r w:rsidR="00850A1D">
        <w:rPr>
          <w:lang w:val="es-ES"/>
        </w:rPr>
        <w:t xml:space="preserve">correspondiente a </w:t>
      </w:r>
      <w:r w:rsidR="0056074B">
        <w:rPr>
          <w:lang w:val="es-ES"/>
        </w:rPr>
        <w:t xml:space="preserve"> la Facultad de Humanidades</w:t>
      </w:r>
      <w:r w:rsidR="00EC7595">
        <w:rPr>
          <w:lang w:val="es-ES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D02" w:rsidRPr="00DA7EAF" w:rsidRDefault="00771D02" w:rsidP="00CC101D">
    <w:pPr>
      <w:pStyle w:val="Encabezado"/>
      <w:spacing w:after="0"/>
      <w:rPr>
        <w:b/>
        <w:sz w:val="28"/>
        <w:szCs w:val="28"/>
        <w:lang w:val="es-ES"/>
      </w:rPr>
    </w:pPr>
    <w:r w:rsidRPr="00DA7EAF">
      <w:rPr>
        <w:b/>
        <w:sz w:val="28"/>
        <w:szCs w:val="28"/>
        <w:lang w:val="es-ES"/>
      </w:rPr>
      <w:t>Universidad Nacional de Salta</w:t>
    </w:r>
    <w:r w:rsidR="00CC101D" w:rsidRPr="00DA7EAF">
      <w:rPr>
        <w:b/>
        <w:sz w:val="28"/>
        <w:szCs w:val="28"/>
        <w:lang w:val="es-ES"/>
      </w:rPr>
      <w:t xml:space="preserve">                                     </w:t>
    </w:r>
    <w:r w:rsidRPr="00DA7EAF">
      <w:rPr>
        <w:b/>
        <w:sz w:val="28"/>
        <w:szCs w:val="28"/>
        <w:lang w:val="es-ES"/>
      </w:rPr>
      <w:t xml:space="preserve"> </w:t>
    </w:r>
    <w:r w:rsidR="00DA7EAF">
      <w:rPr>
        <w:b/>
        <w:sz w:val="28"/>
        <w:szCs w:val="28"/>
        <w:lang w:val="es-ES"/>
      </w:rPr>
      <w:t xml:space="preserve">                                  </w:t>
    </w:r>
    <w:r w:rsidR="00CC101D" w:rsidRPr="00DA7EAF">
      <w:rPr>
        <w:b/>
        <w:sz w:val="28"/>
        <w:szCs w:val="28"/>
        <w:lang w:val="es-ES"/>
      </w:rPr>
      <w:t>Secretaría Académica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7856"/>
    <w:multiLevelType w:val="hybridMultilevel"/>
    <w:tmpl w:val="8E54B1F6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B67775C"/>
    <w:multiLevelType w:val="hybridMultilevel"/>
    <w:tmpl w:val="B4B2A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E94613"/>
    <w:multiLevelType w:val="hybridMultilevel"/>
    <w:tmpl w:val="04440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6443B"/>
    <w:multiLevelType w:val="hybridMultilevel"/>
    <w:tmpl w:val="DD64D468"/>
    <w:lvl w:ilvl="0" w:tplc="2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2852"/>
    <w:multiLevelType w:val="hybridMultilevel"/>
    <w:tmpl w:val="3B5A708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3A5CCB"/>
    <w:multiLevelType w:val="hybridMultilevel"/>
    <w:tmpl w:val="47D0483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B5085"/>
    <w:multiLevelType w:val="hybridMultilevel"/>
    <w:tmpl w:val="F6ACCF0C"/>
    <w:lvl w:ilvl="0" w:tplc="CEE00EBE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30F515D"/>
    <w:multiLevelType w:val="hybridMultilevel"/>
    <w:tmpl w:val="2554876A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90A565A"/>
    <w:multiLevelType w:val="hybridMultilevel"/>
    <w:tmpl w:val="0C46365E"/>
    <w:lvl w:ilvl="0" w:tplc="1D3288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E65B1"/>
    <w:multiLevelType w:val="hybridMultilevel"/>
    <w:tmpl w:val="1D7C652C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A053118"/>
    <w:multiLevelType w:val="hybridMultilevel"/>
    <w:tmpl w:val="26B41D16"/>
    <w:lvl w:ilvl="0" w:tplc="CEE00E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E152EF"/>
    <w:multiLevelType w:val="hybridMultilevel"/>
    <w:tmpl w:val="3DC642FE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9316A3"/>
    <w:multiLevelType w:val="hybridMultilevel"/>
    <w:tmpl w:val="44BEA11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7A2A4E"/>
    <w:multiLevelType w:val="hybridMultilevel"/>
    <w:tmpl w:val="7CFA29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A77E81"/>
    <w:multiLevelType w:val="hybridMultilevel"/>
    <w:tmpl w:val="F3E6737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4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5"/>
  </w:num>
  <w:num w:numId="13">
    <w:abstractNumId w:val="0"/>
  </w:num>
  <w:num w:numId="14">
    <w:abstractNumId w:val="7"/>
  </w:num>
  <w:num w:numId="15">
    <w:abstractNumId w:val="9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9FC"/>
    <w:rsid w:val="0000116F"/>
    <w:rsid w:val="00057896"/>
    <w:rsid w:val="00082F59"/>
    <w:rsid w:val="000A6E6F"/>
    <w:rsid w:val="000B3C27"/>
    <w:rsid w:val="000D2D31"/>
    <w:rsid w:val="000D6764"/>
    <w:rsid w:val="000E1086"/>
    <w:rsid w:val="00143C0D"/>
    <w:rsid w:val="00175BF5"/>
    <w:rsid w:val="001816BD"/>
    <w:rsid w:val="001B2977"/>
    <w:rsid w:val="001D31F1"/>
    <w:rsid w:val="001F248D"/>
    <w:rsid w:val="00224C74"/>
    <w:rsid w:val="00237098"/>
    <w:rsid w:val="00237374"/>
    <w:rsid w:val="002616CB"/>
    <w:rsid w:val="002F23F6"/>
    <w:rsid w:val="00311DC4"/>
    <w:rsid w:val="00316FB2"/>
    <w:rsid w:val="00321747"/>
    <w:rsid w:val="003315E5"/>
    <w:rsid w:val="003431B8"/>
    <w:rsid w:val="00362FCF"/>
    <w:rsid w:val="00363057"/>
    <w:rsid w:val="00466DA7"/>
    <w:rsid w:val="004F1D1C"/>
    <w:rsid w:val="004F32D1"/>
    <w:rsid w:val="00514550"/>
    <w:rsid w:val="00524EAC"/>
    <w:rsid w:val="005406A9"/>
    <w:rsid w:val="00547451"/>
    <w:rsid w:val="005545BC"/>
    <w:rsid w:val="0056074B"/>
    <w:rsid w:val="005623EE"/>
    <w:rsid w:val="0057564A"/>
    <w:rsid w:val="005B0BC1"/>
    <w:rsid w:val="005B2749"/>
    <w:rsid w:val="005D1527"/>
    <w:rsid w:val="006134C5"/>
    <w:rsid w:val="00621AE7"/>
    <w:rsid w:val="00683C38"/>
    <w:rsid w:val="00687B5E"/>
    <w:rsid w:val="006B64F8"/>
    <w:rsid w:val="006D5849"/>
    <w:rsid w:val="006E044F"/>
    <w:rsid w:val="006E05A3"/>
    <w:rsid w:val="006F686A"/>
    <w:rsid w:val="00725866"/>
    <w:rsid w:val="007326AB"/>
    <w:rsid w:val="00741D3F"/>
    <w:rsid w:val="00747B6E"/>
    <w:rsid w:val="00747D9F"/>
    <w:rsid w:val="00751EA2"/>
    <w:rsid w:val="00756160"/>
    <w:rsid w:val="00771D02"/>
    <w:rsid w:val="007D22F9"/>
    <w:rsid w:val="00824202"/>
    <w:rsid w:val="00850A1D"/>
    <w:rsid w:val="00874C20"/>
    <w:rsid w:val="0088405A"/>
    <w:rsid w:val="00890A7E"/>
    <w:rsid w:val="008B488B"/>
    <w:rsid w:val="008E3E00"/>
    <w:rsid w:val="00921D5C"/>
    <w:rsid w:val="00930740"/>
    <w:rsid w:val="00941F10"/>
    <w:rsid w:val="00954F3A"/>
    <w:rsid w:val="009555E2"/>
    <w:rsid w:val="009952E6"/>
    <w:rsid w:val="009C4EFC"/>
    <w:rsid w:val="009E51C4"/>
    <w:rsid w:val="00A03036"/>
    <w:rsid w:val="00A06CA8"/>
    <w:rsid w:val="00A1229D"/>
    <w:rsid w:val="00A81AD2"/>
    <w:rsid w:val="00A9191E"/>
    <w:rsid w:val="00A929FC"/>
    <w:rsid w:val="00AA0B18"/>
    <w:rsid w:val="00AA718C"/>
    <w:rsid w:val="00AB51FC"/>
    <w:rsid w:val="00AD1F5B"/>
    <w:rsid w:val="00AD79A8"/>
    <w:rsid w:val="00AE3F24"/>
    <w:rsid w:val="00B94CE8"/>
    <w:rsid w:val="00BB3ADC"/>
    <w:rsid w:val="00BC295E"/>
    <w:rsid w:val="00BC399A"/>
    <w:rsid w:val="00BE5EBD"/>
    <w:rsid w:val="00BF34C7"/>
    <w:rsid w:val="00BF68A7"/>
    <w:rsid w:val="00C61F46"/>
    <w:rsid w:val="00C666B3"/>
    <w:rsid w:val="00CC101D"/>
    <w:rsid w:val="00CC7371"/>
    <w:rsid w:val="00CE6064"/>
    <w:rsid w:val="00CF1B71"/>
    <w:rsid w:val="00D10148"/>
    <w:rsid w:val="00D469CF"/>
    <w:rsid w:val="00D60E44"/>
    <w:rsid w:val="00D85A28"/>
    <w:rsid w:val="00DA7EAF"/>
    <w:rsid w:val="00DB05C1"/>
    <w:rsid w:val="00DB7F49"/>
    <w:rsid w:val="00DC0FA1"/>
    <w:rsid w:val="00DD6CD8"/>
    <w:rsid w:val="00E06EE8"/>
    <w:rsid w:val="00E10EDB"/>
    <w:rsid w:val="00E12FFD"/>
    <w:rsid w:val="00E15ACC"/>
    <w:rsid w:val="00E27AD2"/>
    <w:rsid w:val="00E373E1"/>
    <w:rsid w:val="00EC7595"/>
    <w:rsid w:val="00EE32D9"/>
    <w:rsid w:val="00F0209C"/>
    <w:rsid w:val="00F02A1C"/>
    <w:rsid w:val="00F15686"/>
    <w:rsid w:val="00F171A5"/>
    <w:rsid w:val="00F30166"/>
    <w:rsid w:val="00F65BC6"/>
    <w:rsid w:val="00F908CD"/>
    <w:rsid w:val="00FB1CAB"/>
    <w:rsid w:val="00FB3AA1"/>
    <w:rsid w:val="00FC23B9"/>
    <w:rsid w:val="00FC6A17"/>
    <w:rsid w:val="00FD024B"/>
    <w:rsid w:val="00FD1935"/>
    <w:rsid w:val="00FE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FC"/>
    <w:pPr>
      <w:spacing w:after="200" w:line="276" w:lineRule="auto"/>
      <w:ind w:left="0"/>
      <w:jc w:val="left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9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9FC"/>
    <w:rPr>
      <w:rFonts w:ascii="Calibri" w:eastAsia="Calibri" w:hAnsi="Calibri" w:cs="Times New Roman"/>
      <w:lang w:val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51F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51FC"/>
    <w:rPr>
      <w:rFonts w:ascii="Calibri" w:eastAsia="Calibri" w:hAnsi="Calibri" w:cs="Times New Roman"/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AB51FC"/>
    <w:rPr>
      <w:vertAlign w:val="superscript"/>
    </w:rPr>
  </w:style>
  <w:style w:type="paragraph" w:styleId="Prrafodelista">
    <w:name w:val="List Paragraph"/>
    <w:basedOn w:val="Normal"/>
    <w:uiPriority w:val="34"/>
    <w:qFormat/>
    <w:rsid w:val="006134C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771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1D02"/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D02"/>
    <w:rPr>
      <w:rFonts w:ascii="Tahoma" w:eastAsia="Calibri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020BC-D9EC-4AB8-A9EE-65095F8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 usuario</dc:creator>
  <cp:lastModifiedBy>Usuario</cp:lastModifiedBy>
  <cp:revision>4</cp:revision>
  <cp:lastPrinted>2013-09-26T16:39:00Z</cp:lastPrinted>
  <dcterms:created xsi:type="dcterms:W3CDTF">2013-09-26T16:44:00Z</dcterms:created>
  <dcterms:modified xsi:type="dcterms:W3CDTF">2013-09-27T13:08:00Z</dcterms:modified>
</cp:coreProperties>
</file>